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2023年4月8日01时40分，我局执法人员在执法</w:t>
      </w:r>
      <w:bookmarkStart w:id="0" w:name="_GoBack"/>
      <w:bookmarkEnd w:id="0"/>
      <w:r>
        <w:rPr>
          <w:rFonts w:hint="eastAsia" w:ascii="仿宋_GB2312" w:hAnsi="仿宋_GB2312" w:eastAsia="仿宋_GB2312" w:cs="仿宋_GB2312"/>
          <w:kern w:val="0"/>
          <w:sz w:val="28"/>
          <w:szCs w:val="28"/>
          <w:u w:val="none"/>
        </w:rPr>
        <w:t xml:space="preserve">检查时，发现你单位作为施工单位在深圳市南山区南山街道东滨路与兴工路交汇处西北角的怡丰大厦工程施工中，存在夜间在城市建成区内进行产生环境噪声的混凝土楼层打磨建筑施工作业的环境违法行为，现场调查时发现使用了混凝土磨光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AA4B36"/>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2023-05-04T03:35:45Z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6989ACDA3E1949C59C869731F46DCAB1</vt:lpwstr>
  </property>
</Properties>
</file>