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8日23时37分，我局执法人员在执法检查时，发现你单位作为施工单位在深圳市南山区留仙大道丽雅苑小区东侧的官龙学校项目施工总承包主体及二次结构劳务分包工程施工中，存在未取得生态环境主管部门出具的中午或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关环</w:t>
      </w:r>
      <w:bookmarkStart w:id="1" w:name="_GoBack"/>
      <w:bookmarkEnd w:id="1"/>
      <w:r>
        <w:rPr>
          <w:rFonts w:hint="eastAsia" w:ascii="仿宋_GB2312" w:hAnsi="仿宋_GB2312" w:eastAsia="仿宋_GB2312" w:cs="仿宋_GB2312"/>
          <w:kern w:val="0"/>
          <w:sz w:val="28"/>
          <w:szCs w:val="28"/>
          <w:u w:val="none"/>
        </w:rPr>
        <w:t xml:space="preserve">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8FD4BD5"/>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57F5E3F"/>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2023-05-11T03:43:50Z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