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18日01时45分，我局执法人员在执法检查时，发现你单位作为施工单位在深圳市南山区众冠红花岭工业区的南山智造（红花岭基地）城市更新项目(一期）1-4#楼基坑支护及桩基专业工程分包工程施工中，存在未取得生态环境主管部门出具的中午或者夜间作业证明在夜间进行产生环境噪声的混凝土浇筑建筑施工作业的环境违法行为，现场调查时发现使用了混凝土搅拌车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both"/>
        <w:textAlignment w:val="auto"/>
        <w:outlineLvl w:val="9"/>
        <w:rPr>
          <w:rFonts w:hint="eastAsia" w:ascii="仿宋_GB2312" w:hAnsi="仿宋_GB2312" w:eastAsia="仿宋_GB2312" w:cs="仿宋_GB2312"/>
          <w:sz w:val="28"/>
          <w:szCs w:val="28"/>
        </w:rPr>
      </w:pPr>
      <w:bookmarkStart w:id="1" w:name="_GoBack"/>
      <w:bookmarkEnd w:id="1"/>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DEC1702"/>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2023-05-18T09:26:22Z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