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2023年6月1日23时10分，我局执法人员</w:t>
      </w:r>
      <w:bookmarkStart w:id="1" w:name="_GoBack"/>
      <w:bookmarkEnd w:id="1"/>
      <w:r>
        <w:rPr>
          <w:rFonts w:hint="eastAsia" w:ascii="仿宋_GB2312" w:hAnsi="仿宋_GB2312" w:eastAsia="仿宋_GB2312" w:cs="仿宋_GB2312"/>
          <w:kern w:val="0"/>
          <w:sz w:val="28"/>
          <w:szCs w:val="28"/>
          <w:u w:val="none"/>
        </w:rPr>
        <w:t>在执法检查时，发现当事人作为施工单位在深圳市南山区西丽街道同发南路打石一路交汇处附近的深圳市城市轨道交通13号线施工总承包七工区西丽火车站-石鼓站区间主体劳务分包工程施工中，于2023年6月1日23时10分在夜间（22:00-次日07:00）从事产生噪声的施工作业，现场正在进行吊卸等施工作业，使用了吊机等施工设备。</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你单位未按照《深圳市生态环境局关于加强中、高考期间噪声污染管控的通告》的要求，存在在高考备考期间未按照限制性规定排放噪声的环境违法行为。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rPr>
        <w:t>《深圳市生态环境局关于加强中、高考期间噪声污染管控的通告》，以及当事人提供的身份证复印件、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依据《中华人民共和国行政处罚法》第二十八条第一款和《深圳经济特区环境噪声污染防治条例》第八十四条的规定，现责令你单位立即停止在高考备考期间未按照限制性规定排放噪声的环境违法行为。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将自本决定书送达之日起三十日内对你单位违法行为的改正情况实施复查。若复查时发现你单位拒不改正的，我局可依法采取法律法规赋予生态环境部门的监管措施：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overflowPunct/>
        <w:topLinePunct w:val="0"/>
        <w:bidi w:val="0"/>
        <w:snapToGrid/>
        <w:spacing w:line="360" w:lineRule="auto"/>
        <w:ind w:right="48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5B131A"/>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587700"/>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D1D66A2"/>
    <w:rsid w:val="5E1E7147"/>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EB7162E"/>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908</Words>
  <Characters>959</Characters>
  <Lines>0</Lines>
  <Paragraphs>0</Paragraphs>
  <TotalTime>0</TotalTime>
  <ScaleCrop>false</ScaleCrop>
  <LinksUpToDate>false</LinksUpToDate>
  <CharactersWithSpaces>1273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2023-06-14T03:28:20Z</cp:lastPrinted>
  <dcterms:modified xsi:type="dcterms:W3CDTF">2023-06-14T03:28:22Z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