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133</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6月20日00时18分，我局执法人员在执法检查时，发现你单位作为施工单位在深圳市南山区南山街道向南路与粤海路交汇处西南侧的云荟大厦施工总承包工程施工中，于2023年6月20日00时18分，在夜间（22:00-次日7:00）从事产生噪声的施工作业，现场正在进行混凝土浇筑等施工作业，使用了混凝土搅拌车等施工设备。</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你单位未按照《深圳市生态环境局关于加强中、高考期间噪声污染管控的通告》的要求，存在在中考备考期间未按照限制性规定排放噪声的环境违法行为。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rPr>
        <w:t>《深圳市生态环境局关于加强中、高考期间噪声污染管控的通告》，以及当事人提供的身份证复印件、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法人授权委托书、建筑工程施工许可证复印件等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你单位上述行为违反了《深圳经济特区环境噪声污染防治条例》第六十九条的规定。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依据《中华人民共和国行政处罚法》第二十八条第一款和《深圳经济特区环境噪声污染防治条例》第八十四条的规定，现责令你单位立即停止</w:t>
      </w:r>
      <w:bookmarkStart w:id="1" w:name="_GoBack"/>
      <w:bookmarkEnd w:id="1"/>
      <w:r>
        <w:rPr>
          <w:rFonts w:hint="eastAsia" w:ascii="仿宋_GB2312" w:hAnsi="仿宋_GB2312" w:eastAsia="仿宋_GB2312" w:cs="仿宋_GB2312"/>
          <w:kern w:val="0"/>
          <w:sz w:val="28"/>
          <w:szCs w:val="28"/>
          <w:u w:val="none"/>
        </w:rPr>
        <w:t>未按照限制性规定排放噪声的环境违法行为。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我局将自本决定书送达之日起三十日内对你单位违法行为的改正情况实施复查。若复查时发现你单位拒不改正的，我局可依法采取法律法规赋予生态环境部门的监管措施：1.依据《深圳经济特区生态环境保护条例》第一百二十六条规定，依法对有关设施、设备和场所实施查封、扣押；2.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余城德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90A05A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B7162E"/>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945</Characters>
  <Lines>0</Lines>
  <Paragraphs>0</Paragraphs>
  <TotalTime>0</TotalTime>
  <ScaleCrop>false</ScaleCrop>
  <LinksUpToDate>false</LinksUpToDate>
  <CharactersWithSpaces>1259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2023-07-04T09:34:42Z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