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黑体" w:hAnsi="黑体" w:eastAsia="黑体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CESI黑体-GB13000" w:hAnsi="CESI黑体-GB13000" w:eastAsia="CESI黑体-GB13000" w:cs="CESI黑体-GB1300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深圳市清单管理类建设项目大气污染物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许可排放量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核算指引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</w:tabs>
        <w:snapToGrid w:val="0"/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一、适用范围</w:t>
      </w:r>
    </w:p>
    <w:p>
      <w:pPr>
        <w:tabs>
          <w:tab w:val="left" w:pos="420"/>
        </w:tabs>
        <w:snapToGrid w:val="0"/>
        <w:spacing w:line="600" w:lineRule="exact"/>
        <w:ind w:firstLine="640" w:firstLineChars="200"/>
        <w:outlineLvl w:val="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 w:bidi="ar"/>
          <w14:textFill>
            <w14:solidFill>
              <w14:schemeClr w14:val="tx1"/>
            </w14:solidFill>
          </w14:textFill>
        </w:rPr>
        <w:t>本文件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适用于在已完成区域空间生态环境评价的区域属于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清单管理范围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且需申请排污许可证的建设项目，按照清单管理要求需实施总量替代的，其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VOCs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NOx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许可排放量核算。</w:t>
      </w:r>
    </w:p>
    <w:p>
      <w:pPr>
        <w:tabs>
          <w:tab w:val="left" w:pos="420"/>
        </w:tabs>
        <w:snapToGrid w:val="0"/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挥发性有机物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（VOCs）许可排放量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计算方法</w:t>
      </w:r>
    </w:p>
    <w:p>
      <w:pPr>
        <w:widowControl/>
        <w:snapToGrid/>
        <w:spacing w:line="600" w:lineRule="exact"/>
        <w:ind w:firstLine="640" w:firstLineChars="200"/>
        <w:outlineLvl w:val="9"/>
        <w:rPr>
          <w:rFonts w:ascii="Times New Roman" w:hAnsi="Times New Roman" w:eastAsia="楷体" w:cs="Times New Roman"/>
          <w:b w:val="0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" w:cs="Times New Roman"/>
          <w:bCs w:val="0"/>
          <w:color w:val="000000"/>
          <w:kern w:val="0"/>
          <w:sz w:val="32"/>
          <w:szCs w:val="32"/>
          <w:lang w:bidi="ar"/>
        </w:rPr>
        <w:t>（一）</w:t>
      </w:r>
      <w:r>
        <w:rPr>
          <w:rFonts w:hint="eastAsia" w:ascii="Times New Roman" w:hAnsi="Times New Roman" w:eastAsia="楷体" w:cs="Times New Roman"/>
          <w:b w:val="0"/>
          <w:color w:val="000000"/>
          <w:kern w:val="0"/>
          <w:sz w:val="32"/>
          <w:szCs w:val="32"/>
          <w:lang w:eastAsia="zh-CN" w:bidi="ar"/>
        </w:rPr>
        <w:t>计算方法选择</w:t>
      </w:r>
    </w:p>
    <w:p>
      <w:pPr>
        <w:tabs>
          <w:tab w:val="left" w:pos="420"/>
        </w:tabs>
        <w:snapToGrid w:val="0"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挥发性有机物来源于溶剂使用，如使用涂料、胶粘剂、清洗剂、油墨等涉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VOCs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原辅材料的，采用物料衡算法核算。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印刷、印染、家具制造、制鞋、汽车制造、摩托车制造、自行车制造、机械涂层、易拉罐生产/漆包线生产/汽车维修/工艺品表面涂层、干洗剂等溶剂使用源企业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tabs>
          <w:tab w:val="left" w:pos="420"/>
        </w:tabs>
        <w:snapToGrid w:val="0"/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挥发性有机物来源于工艺过程，如橡胶及塑料制品的注塑、吹塑、挤出、成型、密炼等，涂料、油墨、颜料及类似产品的投料、反应、分离、干燥、灌装等的生产加工过程工艺，采用排放系数法核算。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础化学原料制造，涂料、油墨、颜料及类似产品制造，食品制造业，农副产业加工业，造纸及纸制品业，橡胶板、管、带的制造，再生橡胶制造，泡沫塑料制造，塑料人造革、合成革制造、人造板制造等工艺过程源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tabs>
          <w:tab w:val="left" w:pos="420"/>
        </w:tabs>
        <w:snapToGrid w:val="0"/>
        <w:spacing w:line="600" w:lineRule="exact"/>
        <w:ind w:firstLine="640" w:firstLineChars="200"/>
        <w:outlineLvl w:val="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企业存在多种生产工艺时，分别选取合适的核算方法进行核算。</w:t>
      </w:r>
    </w:p>
    <w:p>
      <w:pPr>
        <w:widowControl/>
        <w:snapToGrid/>
        <w:spacing w:line="240" w:lineRule="auto"/>
        <w:ind w:firstLine="640" w:firstLineChars="200"/>
        <w:outlineLvl w:val="9"/>
        <w:rPr>
          <w:rFonts w:ascii="Times New Roman" w:hAnsi="Times New Roman" w:eastAsia="楷体" w:cs="Times New Roman"/>
          <w:b w:val="0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楷体" w:cs="Times New Roman"/>
          <w:bCs w:val="0"/>
          <w:color w:val="000000"/>
          <w:kern w:val="0"/>
          <w:sz w:val="32"/>
          <w:szCs w:val="32"/>
          <w:lang w:bidi="ar"/>
        </w:rPr>
        <w:t>（二）</w:t>
      </w:r>
      <w:r>
        <w:rPr>
          <w:rFonts w:hint="eastAsia" w:ascii="Times New Roman" w:hAnsi="Times New Roman" w:eastAsia="楷体" w:cs="Times New Roman"/>
          <w:b w:val="0"/>
          <w:color w:val="000000"/>
          <w:kern w:val="0"/>
          <w:sz w:val="32"/>
          <w:szCs w:val="32"/>
          <w:lang w:eastAsia="zh-CN" w:bidi="ar"/>
        </w:rPr>
        <w:t>计算要求</w:t>
      </w:r>
    </w:p>
    <w:p>
      <w:pPr>
        <w:tabs>
          <w:tab w:val="left" w:pos="420"/>
        </w:tabs>
        <w:ind w:firstLine="640" w:firstLineChars="200"/>
        <w:outlineLvl w:val="0"/>
        <w:rPr>
          <w:rFonts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物料衡算法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物料衡算法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公式核算：</w:t>
      </w:r>
    </w:p>
    <w:p>
      <w:pPr>
        <w:spacing w:before="11"/>
        <w:ind w:firstLine="420" w:firstLineChars="200"/>
        <w:jc w:val="center"/>
        <w:rPr>
          <w:rFonts w:ascii="CESI仿宋-GB18030" w:hAnsi="CESI仿宋-GB18030" w:eastAsia="CESI仿宋-GB18030" w:cs="CESI仿宋-GB18030"/>
          <w:i/>
          <w:color w:val="000000"/>
          <w:sz w:val="32"/>
          <w:szCs w:val="32"/>
        </w:rPr>
      </w:pPr>
      <w:r>
        <w:rPr>
          <w:rFonts w:ascii="CESI仿宋-GB18030" w:hAnsi="CESI仿宋-GB18030" w:eastAsia="CESI仿宋-GB18030" w:cs="CESI仿宋-GB18030"/>
        </w:rPr>
        <w:drawing>
          <wp:inline distT="0" distB="0" distL="114300" distR="114300">
            <wp:extent cx="1539240" cy="401955"/>
            <wp:effectExtent l="0" t="0" r="8255" b="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1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式中：</w:t>
      </w:r>
    </w:p>
    <w:p>
      <w:pPr>
        <w:snapToGrid w:val="0"/>
        <w:spacing w:before="11"/>
        <w:ind w:firstLine="420" w:firstLineChars="200"/>
        <w:rPr>
          <w:rStyle w:val="20"/>
          <w:rFonts w:ascii="仿宋_GB2312" w:hAnsi="仿宋_GB2312" w:eastAsia="仿宋_GB2312" w:cs="仿宋_GB2312"/>
          <w:color w:val="000000"/>
        </w:rPr>
      </w:pPr>
      <w:r>
        <w:rPr>
          <w:rFonts w:ascii="仿宋_GB2312" w:hAnsi="仿宋_GB2312" w:eastAsia="仿宋_GB2312" w:cs="仿宋_GB2312"/>
          <w:color w:val="auto"/>
        </w:rPr>
        <w:drawing>
          <wp:inline distT="0" distB="0" distL="114300" distR="114300">
            <wp:extent cx="673735" cy="233045"/>
            <wp:effectExtent l="0" t="0" r="5715" b="2222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0"/>
          <w:rFonts w:hint="eastAsia" w:ascii="仿宋_GB2312" w:hAnsi="仿宋_GB2312" w:eastAsia="仿宋_GB2312" w:cs="仿宋_GB2312"/>
          <w:color w:val="000000"/>
        </w:rPr>
        <w:t>——</w:t>
      </w:r>
      <w:r>
        <w:rPr>
          <w:rStyle w:val="20"/>
          <w:rFonts w:ascii="仿宋_GB2312" w:hAnsi="仿宋_GB2312" w:eastAsia="仿宋_GB2312" w:cs="仿宋_GB2312"/>
          <w:color w:val="000000"/>
        </w:rPr>
        <w:t>VOCs</w:t>
      </w:r>
      <w:r>
        <w:rPr>
          <w:rStyle w:val="20"/>
          <w:rFonts w:hint="eastAsia" w:ascii="仿宋_GB2312" w:hAnsi="仿宋_GB2312" w:eastAsia="仿宋_GB2312" w:cs="仿宋_GB2312"/>
          <w:color w:val="000000"/>
        </w:rPr>
        <w:t>排放量，吨；</w:t>
      </w:r>
    </w:p>
    <w:p>
      <w:pPr>
        <w:snapToGrid w:val="0"/>
        <w:spacing w:before="11"/>
        <w:ind w:firstLine="420" w:firstLineChars="200"/>
        <w:rPr>
          <w:rStyle w:val="20"/>
          <w:rFonts w:ascii="仿宋_GB2312" w:hAnsi="仿宋_GB2312" w:eastAsia="仿宋_GB2312" w:cs="仿宋_GB2312"/>
          <w:color w:val="000000"/>
        </w:rPr>
      </w:pPr>
      <w:r>
        <w:rPr>
          <w:rFonts w:ascii="仿宋_GB2312" w:hAnsi="仿宋_GB2312" w:eastAsia="仿宋_GB2312" w:cs="仿宋_GB2312"/>
          <w:color w:val="auto"/>
        </w:rPr>
        <w:drawing>
          <wp:inline distT="0" distB="0" distL="114300" distR="114300">
            <wp:extent cx="673735" cy="233045"/>
            <wp:effectExtent l="0" t="0" r="5715" b="2222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0"/>
          <w:rFonts w:hint="eastAsia" w:ascii="仿宋_GB2312" w:hAnsi="仿宋_GB2312" w:eastAsia="仿宋_GB2312" w:cs="仿宋_GB2312"/>
          <w:color w:val="000000"/>
        </w:rPr>
        <w:t>——核算期内使用物料中</w:t>
      </w:r>
      <w:r>
        <w:rPr>
          <w:rStyle w:val="20"/>
          <w:rFonts w:ascii="仿宋_GB2312" w:hAnsi="仿宋_GB2312" w:eastAsia="仿宋_GB2312" w:cs="仿宋_GB2312"/>
          <w:color w:val="000000"/>
        </w:rPr>
        <w:t>VOCs</w:t>
      </w:r>
      <w:r>
        <w:rPr>
          <w:rStyle w:val="20"/>
          <w:rFonts w:hint="eastAsia" w:ascii="仿宋_GB2312" w:hAnsi="仿宋_GB2312" w:eastAsia="仿宋_GB2312" w:cs="仿宋_GB2312"/>
          <w:color w:val="000000"/>
        </w:rPr>
        <w:t>量之和，吨；</w:t>
      </w:r>
    </w:p>
    <w:p>
      <w:pPr>
        <w:snapToGrid w:val="0"/>
        <w:spacing w:before="11"/>
        <w:ind w:firstLine="420" w:firstLineChars="200"/>
        <w:rPr>
          <w:rStyle w:val="20"/>
          <w:rFonts w:ascii="仿宋_GB2312" w:hAnsi="仿宋_GB2312" w:eastAsia="仿宋_GB2312" w:cs="仿宋_GB2312"/>
          <w:color w:val="000000"/>
        </w:rPr>
      </w:pPr>
      <w:r>
        <w:rPr>
          <w:rFonts w:ascii="仿宋_GB2312" w:hAnsi="仿宋_GB2312" w:eastAsia="仿宋_GB2312" w:cs="仿宋_GB2312"/>
          <w:color w:val="auto"/>
        </w:rPr>
        <w:drawing>
          <wp:inline distT="0" distB="0" distL="114300" distR="114300">
            <wp:extent cx="673735" cy="233045"/>
            <wp:effectExtent l="0" t="0" r="5715" b="2222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0"/>
          <w:rFonts w:hint="eastAsia" w:ascii="仿宋_GB2312" w:hAnsi="仿宋_GB2312" w:eastAsia="仿宋_GB2312" w:cs="仿宋_GB2312"/>
          <w:color w:val="000000"/>
        </w:rPr>
        <w:t>——核算期内污染控制措施</w:t>
      </w:r>
      <w:r>
        <w:rPr>
          <w:rStyle w:val="20"/>
          <w:rFonts w:ascii="仿宋_GB2312" w:hAnsi="仿宋_GB2312" w:eastAsia="仿宋_GB2312" w:cs="仿宋_GB2312"/>
          <w:color w:val="000000"/>
        </w:rPr>
        <w:t>VOCs</w:t>
      </w:r>
      <w:r>
        <w:rPr>
          <w:rStyle w:val="20"/>
          <w:rFonts w:hint="eastAsia" w:ascii="仿宋_GB2312" w:hAnsi="仿宋_GB2312" w:eastAsia="仿宋_GB2312" w:cs="仿宋_GB2312"/>
          <w:color w:val="000000"/>
        </w:rPr>
        <w:t>去除量，吨。</w:t>
      </w:r>
    </w:p>
    <w:p>
      <w:pPr>
        <w:spacing w:before="11" w:line="560" w:lineRule="exact"/>
        <w:ind w:firstLine="640" w:firstLineChars="200"/>
        <w:rPr>
          <w:rFonts w:ascii="仿宋_GB2312" w:hAnsi="仿宋_GB2312" w:eastAsia="仿宋_GB2312" w:cs="仿宋_GB2312"/>
          <w:bCs w:val="0"/>
          <w:color w:val="000000"/>
          <w:kern w:val="2"/>
          <w:sz w:val="32"/>
          <w:szCs w:val="32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）</w:t>
      </w:r>
      <w:r>
        <w:rPr>
          <w:rFonts w:ascii="仿宋_GB2312" w:hAnsi="仿宋_GB2312" w:eastAsia="仿宋_GB2312" w:cs="仿宋_GB2312"/>
          <w:bCs w:val="0"/>
          <w:color w:val="000000"/>
          <w:kern w:val="2"/>
          <w:sz w:val="32"/>
          <w:szCs w:val="32"/>
          <w:lang w:eastAsia="zh-Hans" w:bidi="ar"/>
        </w:rPr>
        <w:t>VOCs</w:t>
      </w: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32"/>
          <w:szCs w:val="32"/>
          <w:lang w:eastAsia="zh-Hans" w:bidi="ar"/>
        </w:rPr>
        <w:t>投用量</w:t>
      </w:r>
      <w:r>
        <w:rPr>
          <w:rFonts w:ascii="仿宋_GB2312" w:hAnsi="仿宋_GB2312" w:eastAsia="仿宋_GB2312" w:cs="仿宋_GB2312"/>
          <w:bCs w:val="0"/>
          <w:color w:val="000000"/>
          <w:kern w:val="2"/>
          <w:sz w:val="32"/>
          <w:szCs w:val="32"/>
          <w:lang w:eastAsia="zh-Hans" w:bidi="ar"/>
        </w:rPr>
        <w:t>E</w:t>
      </w: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32"/>
          <w:szCs w:val="32"/>
          <w:vertAlign w:val="subscript"/>
          <w:lang w:eastAsia="zh-Hans" w:bidi="ar"/>
        </w:rPr>
        <w:t>投用</w:t>
      </w:r>
    </w:p>
    <w:p>
      <w:pPr>
        <w:spacing w:before="11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投用量为企业使用的各种含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物料中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量之和。含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物料包括但不限于：涂料、稀释剂、固化剂、清洗剂、油墨、胶粘剂等。</w:t>
      </w:r>
    </w:p>
    <w:p>
      <w:pPr>
        <w:ind w:right="105" w:firstLine="1365" w:firstLineChars="650"/>
        <w:jc w:val="center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position w:val="-28"/>
        </w:rPr>
        <w:object>
          <v:shape id="_x0000_i1025" o:spt="75" type="#_x0000_t75" style="height:39.65pt;width:101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</w:p>
    <w:p>
      <w:pPr>
        <w:spacing w:before="11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式中：</w:t>
      </w:r>
    </w:p>
    <w:p>
      <w:pPr>
        <w:tabs>
          <w:tab w:val="left" w:pos="2552"/>
        </w:tabs>
        <w:ind w:firstLine="525" w:firstLineChars="250"/>
        <w:rPr>
          <w:rFonts w:ascii="仿宋_GB2312" w:hAnsi="仿宋_GB2312" w:eastAsia="仿宋_GB2312" w:cs="仿宋_GB2312"/>
          <w:color w:val="000000"/>
        </w:rPr>
      </w:pPr>
      <w:r>
        <w:rPr>
          <w:rFonts w:ascii="仿宋_GB2312" w:hAnsi="仿宋_GB2312" w:eastAsia="仿宋_GB2312" w:cs="仿宋_GB2312"/>
          <w:i/>
          <w:color w:val="000000"/>
        </w:rPr>
        <w:t>W</w:t>
      </w:r>
      <w:r>
        <w:rPr>
          <w:rFonts w:ascii="仿宋_GB2312" w:hAnsi="仿宋_GB2312" w:eastAsia="仿宋_GB2312" w:cs="仿宋_GB2312"/>
          <w:i/>
          <w:color w:val="000000"/>
          <w:vertAlign w:val="subscript"/>
        </w:rPr>
        <w:t>i</w:t>
      </w:r>
      <w:r>
        <w:rPr>
          <w:rStyle w:val="20"/>
          <w:rFonts w:hint="eastAsia" w:ascii="仿宋_GB2312" w:hAnsi="仿宋_GB2312" w:eastAsia="仿宋_GB2312" w:cs="仿宋_GB2312"/>
          <w:color w:val="000000"/>
        </w:rPr>
        <w:t>——</w:t>
      </w:r>
      <w:r>
        <w:rPr>
          <w:rFonts w:hint="eastAsia" w:ascii="仿宋_GB2312" w:hAnsi="仿宋_GB2312" w:eastAsia="仿宋_GB2312" w:cs="仿宋_GB2312"/>
          <w:color w:val="000000"/>
        </w:rPr>
        <w:t>核算期内与企业产能相匹配的含</w:t>
      </w:r>
      <w:r>
        <w:rPr>
          <w:rFonts w:ascii="仿宋_GB2312" w:hAnsi="仿宋_GB2312" w:eastAsia="仿宋_GB2312" w:cs="仿宋_GB2312"/>
          <w:color w:val="000000"/>
        </w:rPr>
        <w:t>VOCs</w:t>
      </w:r>
      <w:r>
        <w:rPr>
          <w:rFonts w:hint="eastAsia" w:ascii="仿宋_GB2312" w:hAnsi="仿宋_GB2312" w:eastAsia="仿宋_GB2312" w:cs="仿宋_GB2312"/>
          <w:color w:val="000000"/>
        </w:rPr>
        <w:t>物料</w:t>
      </w:r>
      <w:r>
        <w:rPr>
          <w:rFonts w:ascii="仿宋_GB2312" w:hAnsi="仿宋_GB2312" w:eastAsia="仿宋_GB2312" w:cs="仿宋_GB2312"/>
          <w:color w:val="000000"/>
        </w:rPr>
        <w:t>i</w:t>
      </w:r>
      <w:r>
        <w:rPr>
          <w:rFonts w:hint="eastAsia" w:ascii="仿宋_GB2312" w:hAnsi="仿宋_GB2312" w:eastAsia="仿宋_GB2312" w:cs="仿宋_GB2312"/>
          <w:color w:val="000000"/>
        </w:rPr>
        <w:t>设计年使用量，吨；</w:t>
      </w:r>
    </w:p>
    <w:p>
      <w:pPr>
        <w:ind w:firstLine="525" w:firstLineChars="250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ascii="仿宋_GB2312" w:hAnsi="仿宋_GB2312" w:eastAsia="仿宋_GB2312" w:cs="仿宋_GB2312"/>
          <w:i/>
          <w:color w:val="000000"/>
        </w:rPr>
        <w:t>WF</w:t>
      </w:r>
      <w:r>
        <w:rPr>
          <w:rFonts w:ascii="仿宋_GB2312" w:hAnsi="仿宋_GB2312" w:eastAsia="仿宋_GB2312" w:cs="仿宋_GB2312"/>
          <w:i/>
          <w:color w:val="000000"/>
          <w:vertAlign w:val="subscript"/>
        </w:rPr>
        <w:t>i</w:t>
      </w:r>
      <w:r>
        <w:rPr>
          <w:rStyle w:val="20"/>
          <w:rFonts w:hint="eastAsia" w:ascii="仿宋_GB2312" w:hAnsi="仿宋_GB2312" w:eastAsia="仿宋_GB2312" w:cs="仿宋_GB2312"/>
          <w:color w:val="000000"/>
        </w:rPr>
        <w:t>——</w:t>
      </w:r>
      <w:r>
        <w:rPr>
          <w:rFonts w:hint="eastAsia" w:ascii="仿宋_GB2312" w:hAnsi="仿宋_GB2312" w:eastAsia="仿宋_GB2312" w:cs="仿宋_GB2312"/>
          <w:color w:val="000000"/>
        </w:rPr>
        <w:t>核算期内含</w:t>
      </w:r>
      <w:r>
        <w:rPr>
          <w:rFonts w:ascii="仿宋_GB2312" w:hAnsi="仿宋_GB2312" w:eastAsia="仿宋_GB2312" w:cs="仿宋_GB2312"/>
          <w:color w:val="000000"/>
        </w:rPr>
        <w:t>VOCs</w:t>
      </w:r>
      <w:r>
        <w:rPr>
          <w:rFonts w:hint="eastAsia" w:ascii="仿宋_GB2312" w:hAnsi="仿宋_GB2312" w:eastAsia="仿宋_GB2312" w:cs="仿宋_GB2312"/>
          <w:color w:val="000000"/>
        </w:rPr>
        <w:t>物料</w:t>
      </w:r>
      <w:r>
        <w:rPr>
          <w:rFonts w:ascii="仿宋_GB2312" w:hAnsi="仿宋_GB2312" w:eastAsia="仿宋_GB2312" w:cs="仿宋_GB2312"/>
          <w:color w:val="000000"/>
        </w:rPr>
        <w:t>i</w:t>
      </w:r>
      <w:r>
        <w:rPr>
          <w:rFonts w:hint="eastAsia" w:ascii="仿宋_GB2312" w:hAnsi="仿宋_GB2312" w:eastAsia="仿宋_GB2312" w:cs="仿宋_GB2312"/>
          <w:color w:val="000000"/>
        </w:rPr>
        <w:t>的</w:t>
      </w:r>
      <w:r>
        <w:rPr>
          <w:rFonts w:ascii="仿宋_GB2312" w:hAnsi="仿宋_GB2312" w:eastAsia="仿宋_GB2312" w:cs="仿宋_GB2312"/>
          <w:color w:val="000000"/>
        </w:rPr>
        <w:t>VOCs</w:t>
      </w:r>
      <w:r>
        <w:rPr>
          <w:rFonts w:hint="eastAsia" w:ascii="仿宋_GB2312" w:hAnsi="仿宋_GB2312" w:eastAsia="仿宋_GB2312" w:cs="仿宋_GB2312"/>
          <w:color w:val="000000"/>
        </w:rPr>
        <w:t>质量百分含量，</w:t>
      </w:r>
      <w:r>
        <w:rPr>
          <w:rFonts w:ascii="仿宋_GB2312" w:hAnsi="仿宋_GB2312" w:eastAsia="仿宋_GB2312" w:cs="仿宋_GB2312"/>
          <w:color w:val="000000"/>
        </w:rPr>
        <w:t>%</w:t>
      </w:r>
      <w:r>
        <w:rPr>
          <w:rFonts w:hint="eastAsia" w:ascii="仿宋_GB2312" w:hAnsi="仿宋_GB2312" w:eastAsia="仿宋_GB2312" w:cs="仿宋_GB2312"/>
          <w:color w:val="000000"/>
        </w:rPr>
        <w:t>。</w:t>
      </w:r>
    </w:p>
    <w:p>
      <w:pPr>
        <w:spacing w:before="11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含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物料的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质量百分含量选取原则说明如下：</w:t>
      </w:r>
    </w:p>
    <w:p>
      <w:pPr>
        <w:spacing w:before="11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①涂料的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含量单位为克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升或％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(%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带入公式计算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，根据《低挥发性有机化合物含量涂料产品技术要求》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(GB/T38597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—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2020)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、《船舶涂料中有害物质限量》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(GB38469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—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2019)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、《室内地坪涂料中有害物质限量》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(GB38468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—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2019)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、《工业防护涂料中有害物质限量》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(GB30981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—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2020)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、《车辆涂料中有害物质限量》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(GB24409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—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2020)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、《木器涂料中有害物质限量》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(GB18581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—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2020)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等标准限量值取值，需在计算过程中明确所参照的产品质量标准名称及产品类型、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限量值信息；承诺使用更优原辅材料的可采用实际检测值，上传产品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含量检测报告或化学品安全技术说明书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(MSDS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，计算时取其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含量的上限值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②胶粘剂的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含量单位为克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升或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%(%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带入公式计算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，根据《胶粘剂挥发性有机化合物限量》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(GB33372-2020)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标准限量值取值，需在计算过程中明确填报在标准中所参照的产品类型、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限量值信息；承诺使用更优原辅材料的可采用实际检测值，并上传产品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含量检测报告或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MSDS(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计算时取其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含量的上限值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③清洗剂的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含量单位为克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升或％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(%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带入公式计算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，根据《清洗剂挥发性有机化合物含量限值》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(GB38508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—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2020)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标准限量值取值，需在计算过程中明确在标准中所参照的产品类型、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限量值信息；承诺使用更优原辅材料的可采用实际检测值，并上传产品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含量检测报告或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MSDS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（计算时取其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含量的上限值）。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④油墨的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含量单位为％（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带入公式计算），根据《油墨中可挥发性有机化合物（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）含量的限值》（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GB38507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—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）等标准限量值取值，需在计算过程中明确在标准中所参照的产品类型、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限量值信息；承诺使用更优原辅材料的可采用实际检测值，并上传产品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含量检测报告或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MSDS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（计算时取其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含量的上限值）。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⑤不属于涂料、胶粘剂、清洗剂、油墨产品质量标准适用范围内的含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原辅材料（如脲醒、酚酸、三聚氰胺甲醛胶粘剂等），可采用实际检测值，并上传产品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含量检测报告或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MSDS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（计算时取其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含量的上限值）。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Hans" w:bidi="ar"/>
          <w14:textFill>
            <w14:solidFill>
              <w14:schemeClr w14:val="tx1"/>
            </w14:solidFill>
          </w14:textFill>
        </w:rPr>
        <w:t>VOCs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Hans" w:bidi="ar"/>
          <w14:textFill>
            <w14:solidFill>
              <w14:schemeClr w14:val="tx1"/>
            </w14:solidFill>
          </w14:textFill>
        </w:rPr>
        <w:t>去除量</w:t>
      </w:r>
      <w:r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Hans" w:bidi="ar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vertAlign w:val="subscript"/>
          <w:lang w:eastAsia="zh-Hans" w:bidi="ar"/>
          <w14:textFill>
            <w14:solidFill>
              <w14:schemeClr w14:val="tx1"/>
            </w14:solidFill>
          </w14:textFill>
        </w:rPr>
        <w:t>去除</w:t>
      </w:r>
    </w:p>
    <w:p>
      <w:pPr>
        <w:spacing w:before="11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去除量按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公式进行计算。</w:t>
      </w:r>
    </w:p>
    <w:p>
      <w:pPr>
        <w:spacing w:before="11"/>
        <w:ind w:firstLine="420" w:firstLineChars="200"/>
        <w:jc w:val="center"/>
        <w:rPr>
          <w:rFonts w:ascii="仿宋_GB2312" w:hAnsi="仿宋_GB2312" w:eastAsia="仿宋_GB2312" w:cs="仿宋_GB2312"/>
          <w:i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</w:rPr>
        <w:drawing>
          <wp:inline distT="0" distB="0" distL="114300" distR="114300">
            <wp:extent cx="1943735" cy="401955"/>
            <wp:effectExtent l="0" t="0" r="10795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0"/>
          <w:rFonts w:ascii="仿宋_GB2312" w:hAnsi="仿宋_GB2312" w:eastAsia="仿宋_GB2312" w:cs="仿宋_GB2312"/>
          <w:color w:val="000000"/>
        </w:rPr>
        <w:t xml:space="preserve"> </w:t>
      </w:r>
    </w:p>
    <w:p>
      <w:pPr>
        <w:spacing w:before="11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式中：</w:t>
      </w:r>
    </w:p>
    <w:p>
      <w:pPr>
        <w:snapToGrid w:val="0"/>
        <w:ind w:firstLine="634" w:firstLineChars="302"/>
        <w:rPr>
          <w:rFonts w:ascii="仿宋_GB2312" w:hAnsi="仿宋_GB2312" w:eastAsia="仿宋_GB2312" w:cs="仿宋_GB2312"/>
          <w:color w:val="000000"/>
        </w:rPr>
      </w:pPr>
      <w:r>
        <w:rPr>
          <w:rFonts w:ascii="仿宋_GB2312" w:hAnsi="仿宋_GB2312" w:eastAsia="仿宋_GB2312" w:cs="仿宋_GB2312"/>
          <w:i/>
          <w:color w:val="000000"/>
          <w:kern w:val="0"/>
        </w:rPr>
        <w:t>E</w:t>
      </w:r>
      <w:r>
        <w:rPr>
          <w:rFonts w:hint="eastAsia" w:ascii="仿宋_GB2312" w:hAnsi="仿宋_GB2312" w:eastAsia="仿宋_GB2312" w:cs="仿宋_GB2312"/>
          <w:i/>
          <w:color w:val="000000"/>
          <w:kern w:val="0"/>
          <w:vertAlign w:val="subscript"/>
        </w:rPr>
        <w:t>投用，</w:t>
      </w:r>
      <w:r>
        <w:rPr>
          <w:rFonts w:ascii="仿宋_GB2312" w:hAnsi="仿宋_GB2312" w:eastAsia="仿宋_GB2312" w:cs="仿宋_GB2312"/>
          <w:i/>
          <w:color w:val="000000"/>
          <w:kern w:val="0"/>
          <w:vertAlign w:val="subscript"/>
        </w:rPr>
        <w:t>k</w:t>
      </w:r>
      <w:r>
        <w:rPr>
          <w:rFonts w:ascii="仿宋_GB2312" w:hAnsi="仿宋_GB2312" w:eastAsia="仿宋_GB2312" w:cs="仿宋_GB2312"/>
          <w:color w:val="000000"/>
          <w:kern w:val="0"/>
        </w:rPr>
        <w:t>—</w:t>
      </w:r>
      <w:r>
        <w:rPr>
          <w:rFonts w:hint="eastAsia" w:ascii="仿宋_GB2312" w:hAnsi="仿宋_GB2312" w:eastAsia="仿宋_GB2312" w:cs="仿宋_GB2312"/>
          <w:color w:val="000000"/>
          <w:kern w:val="0"/>
        </w:rPr>
        <w:t>核算</w:t>
      </w:r>
      <w:r>
        <w:rPr>
          <w:rFonts w:hint="eastAsia" w:ascii="仿宋_GB2312" w:hAnsi="仿宋_GB2312" w:eastAsia="仿宋_GB2312" w:cs="仿宋_GB2312"/>
          <w:color w:val="000000"/>
        </w:rPr>
        <w:t>期内污染控制设施</w:t>
      </w:r>
      <w:r>
        <w:rPr>
          <w:rFonts w:ascii="仿宋_GB2312" w:hAnsi="仿宋_GB2312" w:eastAsia="仿宋_GB2312" w:cs="仿宋_GB2312"/>
          <w:color w:val="000000"/>
        </w:rPr>
        <w:t>i</w:t>
      </w:r>
      <w:r>
        <w:rPr>
          <w:rFonts w:hint="eastAsia" w:ascii="仿宋_GB2312" w:hAnsi="仿宋_GB2312" w:eastAsia="仿宋_GB2312" w:cs="仿宋_GB2312"/>
          <w:color w:val="000000"/>
        </w:rPr>
        <w:t>对应的废气收集工段投用的各种物料中</w:t>
      </w:r>
      <w:r>
        <w:rPr>
          <w:rFonts w:ascii="仿宋_GB2312" w:hAnsi="仿宋_GB2312" w:eastAsia="仿宋_GB2312" w:cs="仿宋_GB2312"/>
          <w:color w:val="000000"/>
        </w:rPr>
        <w:t>VOCs</w:t>
      </w:r>
      <w:r>
        <w:rPr>
          <w:rFonts w:hint="eastAsia" w:ascii="仿宋_GB2312" w:hAnsi="仿宋_GB2312" w:eastAsia="仿宋_GB2312" w:cs="仿宋_GB2312"/>
          <w:color w:val="000000"/>
        </w:rPr>
        <w:t>量之和，吨；</w:t>
      </w:r>
    </w:p>
    <w:p>
      <w:pPr>
        <w:snapToGrid w:val="0"/>
        <w:ind w:firstLine="525" w:firstLineChars="25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position w:val="-10"/>
        </w:rPr>
        <w:object>
          <v:shape id="_x0000_i1026" o:spt="75" type="#_x0000_t75" style="height:16.45pt;width:13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2">
            <o:LockedField>false</o:LockedField>
          </o:OLEObject>
        </w:object>
      </w:r>
      <w:r>
        <w:rPr>
          <w:rFonts w:ascii="仿宋_GB2312" w:hAnsi="仿宋_GB2312" w:eastAsia="仿宋_GB2312" w:cs="仿宋_GB2312"/>
          <w:color w:val="000000"/>
        </w:rPr>
        <w:t>—</w:t>
      </w:r>
      <w:r>
        <w:rPr>
          <w:rFonts w:hint="eastAsia" w:ascii="仿宋_GB2312" w:hAnsi="仿宋_GB2312" w:eastAsia="仿宋_GB2312" w:cs="仿宋_GB2312"/>
          <w:color w:val="000000"/>
          <w:kern w:val="0"/>
        </w:rPr>
        <w:t>核算</w:t>
      </w:r>
      <w:r>
        <w:rPr>
          <w:rFonts w:hint="eastAsia" w:ascii="仿宋_GB2312" w:hAnsi="仿宋_GB2312" w:eastAsia="仿宋_GB2312" w:cs="仿宋_GB2312"/>
          <w:color w:val="000000"/>
        </w:rPr>
        <w:t>期内废气收集工段的废气收集率，</w:t>
      </w:r>
      <w:r>
        <w:rPr>
          <w:rFonts w:ascii="仿宋_GB2312" w:hAnsi="仿宋_GB2312" w:eastAsia="仿宋_GB2312" w:cs="仿宋_GB2312"/>
          <w:color w:val="000000"/>
        </w:rPr>
        <w:t>%</w:t>
      </w:r>
      <w:r>
        <w:rPr>
          <w:rFonts w:hint="eastAsia" w:ascii="仿宋_GB2312" w:hAnsi="仿宋_GB2312" w:eastAsia="仿宋_GB2312" w:cs="仿宋_GB2312"/>
          <w:color w:val="000000"/>
        </w:rPr>
        <w:t>。废气收集效率可参考下表</w:t>
      </w:r>
      <w:r>
        <w:rPr>
          <w:rFonts w:ascii="仿宋_GB2312" w:hAnsi="仿宋_GB2312" w:eastAsia="仿宋_GB2312" w:cs="仿宋_GB2312"/>
          <w:color w:val="000000"/>
        </w:rPr>
        <w:t>1</w:t>
      </w:r>
      <w:r>
        <w:rPr>
          <w:rFonts w:hint="eastAsia" w:ascii="仿宋_GB2312" w:hAnsi="仿宋_GB2312" w:eastAsia="仿宋_GB2312" w:cs="仿宋_GB2312"/>
          <w:color w:val="000000"/>
        </w:rPr>
        <w:t>；</w:t>
      </w:r>
    </w:p>
    <w:p>
      <w:pPr>
        <w:snapToGrid w:val="0"/>
        <w:ind w:firstLine="525" w:firstLineChars="25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position w:val="-10"/>
        </w:rPr>
        <w:object>
          <v:shape id="_x0000_i1027" o:spt="75" type="#_x0000_t75" style="height:18.9pt;width:13.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4">
            <o:LockedField>false</o:LockedField>
          </o:OLEObject>
        </w:object>
      </w:r>
      <w:r>
        <w:rPr>
          <w:rFonts w:ascii="仿宋_GB2312" w:hAnsi="仿宋_GB2312" w:eastAsia="仿宋_GB2312" w:cs="仿宋_GB2312"/>
          <w:color w:val="000000"/>
        </w:rPr>
        <w:t>—</w:t>
      </w:r>
      <w:r>
        <w:rPr>
          <w:rFonts w:hint="eastAsia" w:ascii="仿宋_GB2312" w:hAnsi="仿宋_GB2312" w:eastAsia="仿宋_GB2312" w:cs="仿宋_GB2312"/>
          <w:color w:val="000000"/>
          <w:kern w:val="0"/>
        </w:rPr>
        <w:t>核算</w:t>
      </w:r>
      <w:r>
        <w:rPr>
          <w:rFonts w:hint="eastAsia" w:ascii="仿宋_GB2312" w:hAnsi="仿宋_GB2312" w:eastAsia="仿宋_GB2312" w:cs="仿宋_GB2312"/>
          <w:color w:val="000000"/>
        </w:rPr>
        <w:t>期内污染控制设施</w:t>
      </w:r>
      <w:r>
        <w:rPr>
          <w:rFonts w:ascii="仿宋_GB2312" w:hAnsi="仿宋_GB2312" w:eastAsia="仿宋_GB2312" w:cs="仿宋_GB2312"/>
          <w:color w:val="000000"/>
        </w:rPr>
        <w:t>i</w:t>
      </w:r>
      <w:r>
        <w:rPr>
          <w:rFonts w:hint="eastAsia" w:ascii="仿宋_GB2312" w:hAnsi="仿宋_GB2312" w:eastAsia="仿宋_GB2312" w:cs="仿宋_GB2312"/>
          <w:color w:val="000000"/>
        </w:rPr>
        <w:t>的处理效率，</w:t>
      </w:r>
      <w:r>
        <w:rPr>
          <w:rFonts w:ascii="仿宋_GB2312" w:hAnsi="仿宋_GB2312" w:eastAsia="仿宋_GB2312" w:cs="仿宋_GB2312"/>
          <w:color w:val="000000"/>
        </w:rPr>
        <w:t>%</w:t>
      </w:r>
      <w:r>
        <w:rPr>
          <w:rFonts w:hint="eastAsia" w:ascii="仿宋_GB2312" w:hAnsi="仿宋_GB2312" w:eastAsia="仿宋_GB2312" w:cs="仿宋_GB2312"/>
          <w:color w:val="000000"/>
        </w:rPr>
        <w:t>。废气治理效率可可参考下表</w:t>
      </w:r>
      <w:r>
        <w:rPr>
          <w:rFonts w:ascii="仿宋_GB2312" w:hAnsi="仿宋_GB2312" w:eastAsia="仿宋_GB2312" w:cs="仿宋_GB2312"/>
          <w:color w:val="000000"/>
        </w:rPr>
        <w:t>2</w:t>
      </w:r>
      <w:r>
        <w:rPr>
          <w:rFonts w:hint="eastAsia" w:ascii="仿宋_GB2312" w:hAnsi="仿宋_GB2312" w:eastAsia="仿宋_GB2312" w:cs="仿宋_GB2312"/>
          <w:color w:val="000000"/>
        </w:rPr>
        <w:t>。</w:t>
      </w:r>
    </w:p>
    <w:p>
      <w:pPr>
        <w:tabs>
          <w:tab w:val="left" w:pos="420"/>
        </w:tabs>
        <w:ind w:firstLine="640" w:firstLineChars="200"/>
        <w:outlineLvl w:val="0"/>
        <w:rPr>
          <w:rFonts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排放系数法</w:t>
      </w:r>
    </w:p>
    <w:p>
      <w:pPr>
        <w:spacing w:before="11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排污许可证中的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排放量采用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公式核算：</w:t>
      </w:r>
    </w:p>
    <w:p>
      <w:pPr>
        <w:spacing w:before="11"/>
        <w:ind w:firstLine="420" w:firstLineChars="200"/>
        <w:jc w:val="center"/>
        <w:rPr>
          <w:rFonts w:ascii="仿宋_GB2312" w:hAnsi="仿宋_GB2312" w:eastAsia="仿宋_GB2312" w:cs="仿宋_GB2312"/>
          <w:i/>
          <w:color w:val="000000"/>
          <w:sz w:val="32"/>
          <w:szCs w:val="32"/>
        </w:rPr>
      </w:pPr>
      <m:oMathPara>
        <m:oMath>
          <m:sSub>
            <m:sSubPr>
              <m:ctrlPr>
                <w:rPr>
                  <w:rFonts w:hint="eastAsia" w:ascii="DejaVu Math TeX Gyre" w:hAnsi="DejaVu Math TeX Gyre" w:eastAsia="仿宋_GB2312" w:cs="仿宋_GB2312"/>
                  <w:lang w:eastAsia="zh-Hans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仿宋_GB2312"/>
                  <w:lang w:eastAsia="zh-Hans"/>
                </w:rPr>
                <m:t>E</m:t>
              </m:r>
              <m:ctrlPr>
                <w:rPr>
                  <w:rFonts w:hint="eastAsia" w:ascii="DejaVu Math TeX Gyre" w:hAnsi="DejaVu Math TeX Gyre" w:eastAsia="仿宋_GB2312" w:cs="仿宋_GB2312"/>
                  <w:lang w:eastAsia="zh-Hans"/>
                </w:rPr>
              </m:ctrlPr>
            </m:e>
            <m:sub>
              <m:r>
                <m:rPr>
                  <m:sty m:val="p"/>
                </m:rPr>
                <w:rPr>
                  <w:rFonts w:hint="eastAsia" w:ascii="DejaVu Math TeX Gyre" w:hAnsi="DejaVu Math TeX Gyre" w:eastAsia="仿宋_GB2312" w:cs="仿宋_GB2312"/>
                  <w:lang w:eastAsia="zh-Hans"/>
                </w:rPr>
                <m:t>排放</m:t>
              </m:r>
              <m:ctrlPr>
                <w:rPr>
                  <w:rFonts w:hint="eastAsia" w:ascii="DejaVu Math TeX Gyre" w:hAnsi="DejaVu Math TeX Gyre" w:eastAsia="仿宋_GB2312" w:cs="仿宋_GB2312"/>
                  <w:lang w:eastAsia="zh-Hans"/>
                </w:rPr>
              </m:ctrlPr>
            </m:sub>
          </m:sSub>
          <m:r>
            <m:rPr>
              <m:sty m:val="p"/>
            </m:rPr>
            <w:rPr>
              <w:rFonts w:hint="eastAsia" w:ascii="DejaVu Math TeX Gyre" w:hAnsi="DejaVu Math TeX Gyre" w:eastAsia="仿宋_GB2312" w:cs="仿宋_GB2312"/>
            </w:rPr>
            <m:t>=</m:t>
          </m:r>
          <m:sSub>
            <m:sSubPr>
              <m:ctrlPr>
                <w:rPr>
                  <w:rFonts w:hint="eastAsia" w:ascii="DejaVu Math TeX Gyre" w:hAnsi="DejaVu Math TeX Gyre" w:eastAsia="仿宋_GB2312" w:cs="仿宋_GB2312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仿宋_GB2312"/>
                  <w:lang w:eastAsia="zh-Hans"/>
                </w:rPr>
                <m:t>E</m:t>
              </m:r>
              <m:ctrlPr>
                <w:rPr>
                  <w:rFonts w:hint="eastAsia" w:ascii="DejaVu Math TeX Gyre" w:hAnsi="DejaVu Math TeX Gyre" w:eastAsia="仿宋_GB2312" w:cs="仿宋_GB231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DejaVu Math TeX Gyre" w:hAnsi="DejaVu Math TeX Gyre" w:eastAsia="仿宋_GB2312" w:cs="仿宋_GB2312"/>
                  <w:lang w:eastAsia="zh-Hans"/>
                </w:rPr>
                <m:t>产生</m:t>
              </m:r>
              <m:ctrlPr>
                <w:rPr>
                  <w:rFonts w:hint="eastAsia" w:ascii="DejaVu Math TeX Gyre" w:hAnsi="DejaVu Math TeX Gyre" w:eastAsia="仿宋_GB2312" w:cs="仿宋_GB2312"/>
                </w:rPr>
              </m:ctrlPr>
            </m:sub>
          </m:sSub>
          <m:r>
            <m:rPr>
              <m:sty m:val="p"/>
            </m:rPr>
            <w:rPr>
              <w:rFonts w:ascii="DejaVu Math TeX Gyre" w:hAnsi="DejaVu Math TeX Gyre" w:eastAsia="仿宋_GB2312" w:cs="仿宋_GB2312"/>
            </w:rPr>
            <m:t>−</m:t>
          </m:r>
          <m:sSub>
            <m:sSubPr>
              <m:ctrlPr>
                <w:rPr>
                  <w:rFonts w:hint="eastAsia" w:ascii="DejaVu Math TeX Gyre" w:hAnsi="DejaVu Math TeX Gyre" w:eastAsia="仿宋_GB2312" w:cs="仿宋_GB2312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仿宋_GB2312"/>
                  <w:lang w:eastAsia="zh-Hans"/>
                </w:rPr>
                <m:t>E</m:t>
              </m:r>
              <m:ctrlPr>
                <w:rPr>
                  <w:rFonts w:hint="eastAsia" w:ascii="DejaVu Math TeX Gyre" w:hAnsi="DejaVu Math TeX Gyre" w:eastAsia="仿宋_GB2312" w:cs="仿宋_GB231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DejaVu Math TeX Gyre" w:hAnsi="DejaVu Math TeX Gyre" w:eastAsia="仿宋_GB2312" w:cs="仿宋_GB2312"/>
                  <w:lang w:eastAsia="zh-Hans"/>
                </w:rPr>
                <m:t>去除</m:t>
              </m:r>
              <m:ctrlPr>
                <w:rPr>
                  <w:rFonts w:hint="eastAsia" w:ascii="DejaVu Math TeX Gyre" w:hAnsi="DejaVu Math TeX Gyre" w:eastAsia="仿宋_GB2312" w:cs="仿宋_GB2312"/>
                </w:rPr>
              </m:ctrlPr>
            </m:sub>
          </m:sSub>
        </m:oMath>
      </m:oMathPara>
    </w:p>
    <w:p>
      <w:pPr>
        <w:spacing w:before="11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式中：</w:t>
      </w:r>
    </w:p>
    <w:p>
      <w:pPr>
        <w:snapToGrid w:val="0"/>
        <w:spacing w:before="11"/>
        <w:ind w:firstLine="420" w:firstLineChars="200"/>
        <w:rPr>
          <w:rStyle w:val="20"/>
          <w:rFonts w:ascii="仿宋_GB2312" w:hAnsi="仿宋_GB2312" w:eastAsia="仿宋_GB2312" w:cs="仿宋_GB2312"/>
          <w:color w:val="000000"/>
        </w:rPr>
      </w:pPr>
      <w:r>
        <w:rPr>
          <w:rFonts w:ascii="仿宋_GB2312" w:hAnsi="仿宋_GB2312" w:eastAsia="仿宋_GB2312" w:cs="仿宋_GB2312"/>
          <w:color w:val="auto"/>
        </w:rPr>
        <w:drawing>
          <wp:inline distT="0" distB="0" distL="114300" distR="114300">
            <wp:extent cx="583565" cy="233045"/>
            <wp:effectExtent l="0" t="0" r="635" b="22225"/>
            <wp:docPr id="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0"/>
          <w:rFonts w:hint="eastAsia" w:ascii="仿宋_GB2312" w:hAnsi="仿宋_GB2312" w:eastAsia="仿宋_GB2312" w:cs="仿宋_GB2312"/>
          <w:color w:val="000000"/>
        </w:rPr>
        <w:t>——</w:t>
      </w:r>
      <w:r>
        <w:rPr>
          <w:rStyle w:val="20"/>
          <w:rFonts w:ascii="仿宋_GB2312" w:hAnsi="仿宋_GB2312" w:eastAsia="仿宋_GB2312" w:cs="仿宋_GB2312"/>
          <w:color w:val="000000"/>
        </w:rPr>
        <w:t>VOCs</w:t>
      </w:r>
      <w:r>
        <w:rPr>
          <w:rStyle w:val="20"/>
          <w:rFonts w:hint="eastAsia" w:ascii="仿宋_GB2312" w:hAnsi="仿宋_GB2312" w:eastAsia="仿宋_GB2312" w:cs="仿宋_GB2312"/>
          <w:color w:val="000000"/>
        </w:rPr>
        <w:t>排放量，吨；</w:t>
      </w:r>
    </w:p>
    <w:p>
      <w:pPr>
        <w:snapToGrid w:val="0"/>
        <w:spacing w:before="11"/>
        <w:ind w:firstLine="420" w:firstLineChars="200"/>
        <w:rPr>
          <w:rStyle w:val="20"/>
          <w:rFonts w:ascii="仿宋_GB2312" w:hAnsi="仿宋_GB2312" w:eastAsia="仿宋_GB2312" w:cs="仿宋_GB2312"/>
          <w:color w:val="000000"/>
        </w:rPr>
      </w:pPr>
      <w:r>
        <w:rPr>
          <w:rFonts w:ascii="仿宋_GB2312" w:hAnsi="仿宋_GB2312" w:eastAsia="仿宋_GB2312" w:cs="仿宋_GB2312"/>
          <w:color w:val="auto"/>
        </w:rPr>
        <w:drawing>
          <wp:inline distT="0" distB="0" distL="114300" distR="114300">
            <wp:extent cx="583565" cy="233045"/>
            <wp:effectExtent l="0" t="0" r="635" b="22225"/>
            <wp:docPr id="1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0"/>
          <w:rFonts w:hint="eastAsia" w:ascii="仿宋_GB2312" w:hAnsi="仿宋_GB2312" w:eastAsia="仿宋_GB2312" w:cs="仿宋_GB2312"/>
          <w:color w:val="000000"/>
        </w:rPr>
        <w:t>——核算期内</w:t>
      </w:r>
      <w:r>
        <w:rPr>
          <w:rStyle w:val="20"/>
          <w:rFonts w:ascii="仿宋_GB2312" w:hAnsi="仿宋_GB2312" w:eastAsia="仿宋_GB2312" w:cs="仿宋_GB2312"/>
          <w:color w:val="000000"/>
        </w:rPr>
        <w:t>VOCs</w:t>
      </w:r>
      <w:r>
        <w:rPr>
          <w:rStyle w:val="20"/>
          <w:rFonts w:hint="eastAsia" w:ascii="仿宋_GB2312" w:hAnsi="仿宋_GB2312" w:eastAsia="仿宋_GB2312" w:cs="仿宋_GB2312"/>
          <w:color w:val="000000"/>
        </w:rPr>
        <w:t>排放量之和，吨；</w:t>
      </w:r>
    </w:p>
    <w:p>
      <w:pPr>
        <w:snapToGrid w:val="0"/>
        <w:spacing w:before="11"/>
        <w:ind w:firstLine="420" w:firstLineChars="200"/>
        <w:rPr>
          <w:rStyle w:val="20"/>
          <w:rFonts w:ascii="仿宋_GB2312" w:hAnsi="仿宋_GB2312" w:eastAsia="仿宋_GB2312" w:cs="仿宋_GB2312"/>
          <w:color w:val="000000"/>
        </w:rPr>
      </w:pPr>
      <w:r>
        <w:rPr>
          <w:rFonts w:ascii="仿宋_GB2312" w:hAnsi="仿宋_GB2312" w:eastAsia="仿宋_GB2312" w:cs="仿宋_GB2312"/>
          <w:color w:val="auto"/>
        </w:rPr>
        <w:drawing>
          <wp:inline distT="0" distB="0" distL="114300" distR="114300">
            <wp:extent cx="583565" cy="233045"/>
            <wp:effectExtent l="0" t="0" r="635" b="22225"/>
            <wp:docPr id="1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0"/>
          <w:rFonts w:hint="eastAsia" w:ascii="仿宋_GB2312" w:hAnsi="仿宋_GB2312" w:eastAsia="仿宋_GB2312" w:cs="仿宋_GB2312"/>
          <w:color w:val="000000"/>
        </w:rPr>
        <w:t>——核算期内污染控制措施</w:t>
      </w:r>
      <w:r>
        <w:rPr>
          <w:rStyle w:val="20"/>
          <w:rFonts w:ascii="仿宋_GB2312" w:hAnsi="仿宋_GB2312" w:eastAsia="仿宋_GB2312" w:cs="仿宋_GB2312"/>
          <w:color w:val="000000"/>
        </w:rPr>
        <w:t>VOCs</w:t>
      </w:r>
      <w:r>
        <w:rPr>
          <w:rStyle w:val="20"/>
          <w:rFonts w:hint="eastAsia" w:ascii="仿宋_GB2312" w:hAnsi="仿宋_GB2312" w:eastAsia="仿宋_GB2312" w:cs="仿宋_GB2312"/>
          <w:color w:val="000000"/>
        </w:rPr>
        <w:t>去除量，吨。</w:t>
      </w:r>
    </w:p>
    <w:p>
      <w:pPr>
        <w:spacing w:before="11" w:line="56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产生量</w:t>
      </w:r>
      <w:r>
        <w:rPr>
          <w:rFonts w:ascii="仿宋_GB2312" w:hAnsi="仿宋_GB2312" w:eastAsia="仿宋_GB2312" w:cs="仿宋_GB2312"/>
          <w:bCs/>
          <w:i w:val="0"/>
          <w:iCs/>
          <w:color w:val="000000"/>
          <w:sz w:val="32"/>
          <w:szCs w:val="32"/>
        </w:rPr>
        <w:t>E</w:t>
      </w:r>
      <w:r>
        <w:rPr>
          <w:rFonts w:hint="eastAsia" w:ascii="仿宋_GB2312" w:hAnsi="仿宋_GB2312" w:eastAsia="仿宋_GB2312" w:cs="仿宋_GB2312"/>
          <w:bCs/>
          <w:i w:val="0"/>
          <w:iCs/>
          <w:color w:val="000000"/>
          <w:sz w:val="32"/>
          <w:szCs w:val="32"/>
          <w:vertAlign w:val="subscript"/>
        </w:rPr>
        <w:t>产生</w:t>
      </w:r>
    </w:p>
    <w:p>
      <w:pPr>
        <w:spacing w:before="11"/>
        <w:ind w:firstLine="420" w:firstLineChars="200"/>
        <w:jc w:val="center"/>
        <w:rPr>
          <w:rFonts w:ascii="CESI仿宋-GB18030" w:hAnsi="CESI仿宋-GB18030" w:eastAsia="CESI仿宋-GB18030" w:cs="CESI仿宋-GB18030"/>
          <w:color w:val="000000"/>
        </w:rPr>
      </w:pPr>
      <w:r>
        <w:rPr>
          <w:rFonts w:hint="eastAsia" w:ascii="CESI仿宋-GB18030" w:hAnsi="CESI仿宋-GB18030" w:eastAsia="CESI仿宋-GB18030" w:cs="CESI仿宋-GB18030"/>
          <w:color w:val="000000"/>
        </w:rPr>
        <w:object>
          <v:shape id="_x0000_i1028" o:spt="75" type="#_x0000_t75" style="height:22.6pt;width:124.4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9">
            <o:LockedField>false</o:LockedField>
          </o:OLEObject>
        </w:object>
      </w:r>
    </w:p>
    <w:p>
      <w:pPr>
        <w:spacing w:before="11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式中：</w:t>
      </w:r>
    </w:p>
    <w:p>
      <w:pPr>
        <w:ind w:firstLine="525" w:firstLineChars="250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ascii="仿宋_GB2312" w:hAnsi="仿宋_GB2312" w:eastAsia="仿宋_GB2312" w:cs="仿宋_GB2312"/>
          <w:color w:val="000000"/>
          <w:szCs w:val="21"/>
        </w:rPr>
        <w:t>E</w:t>
      </w:r>
      <w:r>
        <w:rPr>
          <w:rFonts w:hint="eastAsia" w:ascii="仿宋_GB2312" w:hAnsi="仿宋_GB2312" w:eastAsia="仿宋_GB2312" w:cs="仿宋_GB2312"/>
          <w:color w:val="000000"/>
          <w:szCs w:val="21"/>
          <w:vertAlign w:val="subscript"/>
        </w:rPr>
        <w:t>产生</w:t>
      </w:r>
      <w:r>
        <w:rPr>
          <w:rFonts w:ascii="仿宋_GB2312" w:hAnsi="仿宋_GB2312" w:eastAsia="仿宋_GB2312" w:cs="仿宋_GB2312"/>
          <w:color w:val="000000"/>
          <w:szCs w:val="21"/>
        </w:rPr>
        <w:t>—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核算期内</w:t>
      </w:r>
      <w:r>
        <w:rPr>
          <w:rFonts w:ascii="仿宋_GB2312" w:hAnsi="仿宋_GB2312" w:eastAsia="仿宋_GB2312" w:cs="仿宋_GB2312"/>
          <w:color w:val="000000"/>
          <w:szCs w:val="21"/>
        </w:rPr>
        <w:t>VOCs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产生量，吨；</w:t>
      </w:r>
    </w:p>
    <w:p>
      <w:pPr>
        <w:ind w:firstLine="525" w:firstLineChars="250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ascii="仿宋_GB2312" w:hAnsi="仿宋_GB2312" w:eastAsia="仿宋_GB2312" w:cs="仿宋_GB2312"/>
          <w:i/>
          <w:color w:val="000000"/>
          <w:szCs w:val="21"/>
        </w:rPr>
        <w:t>m</w:t>
      </w:r>
      <w:r>
        <w:rPr>
          <w:rFonts w:ascii="仿宋_GB2312" w:hAnsi="仿宋_GB2312" w:eastAsia="仿宋_GB2312" w:cs="仿宋_GB2312"/>
          <w:color w:val="000000"/>
          <w:szCs w:val="21"/>
          <w:vertAlign w:val="subscript"/>
        </w:rPr>
        <w:t>i</w:t>
      </w:r>
      <w:r>
        <w:rPr>
          <w:rFonts w:ascii="仿宋_GB2312" w:hAnsi="仿宋_GB2312" w:eastAsia="仿宋_GB2312" w:cs="仿宋_GB2312"/>
          <w:color w:val="000000"/>
          <w:szCs w:val="21"/>
        </w:rPr>
        <w:t>—</w:t>
      </w:r>
      <w:r>
        <w:rPr>
          <w:rFonts w:hint="eastAsia" w:ascii="仿宋_GB2312" w:hAnsi="仿宋_GB2312" w:eastAsia="仿宋_GB2312" w:cs="仿宋_GB2312"/>
          <w:color w:val="000000"/>
        </w:rPr>
        <w:t>核算期内与企业产能相匹配的含</w:t>
      </w:r>
      <w:r>
        <w:rPr>
          <w:rFonts w:ascii="仿宋_GB2312" w:hAnsi="仿宋_GB2312" w:eastAsia="仿宋_GB2312" w:cs="仿宋_GB2312"/>
          <w:color w:val="000000"/>
        </w:rPr>
        <w:t>VOCs</w:t>
      </w:r>
      <w:r>
        <w:rPr>
          <w:rFonts w:hint="eastAsia" w:ascii="仿宋_GB2312" w:hAnsi="仿宋_GB2312" w:eastAsia="仿宋_GB2312" w:cs="仿宋_GB2312"/>
          <w:color w:val="000000"/>
        </w:rPr>
        <w:t>物料</w:t>
      </w:r>
      <w:r>
        <w:rPr>
          <w:rFonts w:ascii="仿宋_GB2312" w:hAnsi="仿宋_GB2312" w:eastAsia="仿宋_GB2312" w:cs="仿宋_GB2312"/>
          <w:color w:val="000000"/>
        </w:rPr>
        <w:t>i</w:t>
      </w:r>
      <w:r>
        <w:rPr>
          <w:rFonts w:hint="eastAsia" w:ascii="仿宋_GB2312" w:hAnsi="仿宋_GB2312" w:eastAsia="仿宋_GB2312" w:cs="仿宋_GB2312"/>
          <w:color w:val="000000"/>
        </w:rPr>
        <w:t>设计年使用量，吨，以企业原辅材料购入凭证为核定依据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；</w:t>
      </w:r>
    </w:p>
    <w:p>
      <w:pPr>
        <w:ind w:firstLine="525" w:firstLineChars="250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ascii="仿宋_GB2312" w:hAnsi="仿宋_GB2312" w:eastAsia="仿宋_GB2312" w:cs="仿宋_GB2312"/>
          <w:color w:val="000000"/>
          <w:szCs w:val="21"/>
        </w:rPr>
        <w:t>μ—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含</w:t>
      </w:r>
      <w:r>
        <w:rPr>
          <w:rFonts w:ascii="仿宋_GB2312" w:hAnsi="仿宋_GB2312" w:eastAsia="仿宋_GB2312" w:cs="仿宋_GB2312"/>
          <w:color w:val="000000"/>
          <w:szCs w:val="21"/>
        </w:rPr>
        <w:t>VOCs</w:t>
      </w:r>
      <w:r>
        <w:rPr>
          <w:rFonts w:hint="eastAsia" w:ascii="仿宋_GB2312" w:hAnsi="仿宋_GB2312" w:eastAsia="仿宋_GB2312" w:cs="仿宋_GB2312"/>
          <w:color w:val="000000"/>
        </w:rPr>
        <w:t>物料排放系数，</w:t>
      </w:r>
      <w:r>
        <w:rPr>
          <w:rFonts w:ascii="仿宋_GB2312" w:hAnsi="仿宋_GB2312" w:eastAsia="仿宋_GB2312" w:cs="仿宋_GB2312"/>
          <w:color w:val="000000"/>
        </w:rPr>
        <w:t>kg/t</w:t>
      </w:r>
      <w:r>
        <w:rPr>
          <w:rFonts w:hint="eastAsia" w:ascii="仿宋_GB2312" w:hAnsi="仿宋_GB2312" w:eastAsia="仿宋_GB2312" w:cs="仿宋_GB2312"/>
          <w:color w:val="000000"/>
        </w:rPr>
        <w:t>。物料的</w:t>
      </w:r>
      <w:r>
        <w:rPr>
          <w:rFonts w:ascii="仿宋_GB2312" w:hAnsi="仿宋_GB2312" w:eastAsia="仿宋_GB2312" w:cs="仿宋_GB2312"/>
          <w:color w:val="000000"/>
        </w:rPr>
        <w:t>VOCs</w:t>
      </w:r>
      <w:r>
        <w:rPr>
          <w:rFonts w:hint="eastAsia" w:ascii="仿宋_GB2312" w:hAnsi="仿宋_GB2312" w:eastAsia="仿宋_GB2312" w:cs="仿宋_GB2312"/>
          <w:color w:val="000000"/>
        </w:rPr>
        <w:t>排放系数可参考国家、省已出台的相关文件或者其他地区同等效力文件。目前</w:t>
      </w:r>
      <w:r>
        <w:rPr>
          <w:rFonts w:ascii="仿宋_GB2312" w:hAnsi="仿宋_GB2312" w:eastAsia="仿宋_GB2312" w:cs="仿宋_GB2312"/>
          <w:color w:val="000000"/>
        </w:rPr>
        <w:t>VOCs</w:t>
      </w:r>
      <w:r>
        <w:rPr>
          <w:rFonts w:hint="eastAsia" w:ascii="仿宋_GB2312" w:hAnsi="仿宋_GB2312" w:eastAsia="仿宋_GB2312" w:cs="仿宋_GB2312"/>
          <w:color w:val="000000"/>
        </w:rPr>
        <w:t>排放系数可参考《排放源统计调查产排污核算方法和系数手册》中工业行业产排污系数手册取值。如</w:t>
      </w:r>
      <w:r>
        <w:rPr>
          <w:rFonts w:ascii="仿宋_GB2312" w:hAnsi="仿宋_GB2312" w:eastAsia="仿宋_GB2312" w:cs="仿宋_GB2312"/>
          <w:color w:val="000000"/>
        </w:rPr>
        <w:t>VOCs</w:t>
      </w:r>
      <w:r>
        <w:rPr>
          <w:rFonts w:hint="eastAsia" w:ascii="仿宋_GB2312" w:hAnsi="仿宋_GB2312" w:eastAsia="仿宋_GB2312" w:cs="仿宋_GB2312"/>
          <w:color w:val="000000"/>
        </w:rPr>
        <w:t>产污系数的单位与计算公式中的千克</w:t>
      </w:r>
      <w:r>
        <w:rPr>
          <w:rFonts w:ascii="仿宋_GB2312" w:hAnsi="仿宋_GB2312" w:eastAsia="仿宋_GB2312" w:cs="仿宋_GB2312"/>
          <w:color w:val="000000"/>
        </w:rPr>
        <w:t>/</w:t>
      </w:r>
      <w:r>
        <w:rPr>
          <w:rFonts w:hint="eastAsia" w:ascii="仿宋_GB2312" w:hAnsi="仿宋_GB2312" w:eastAsia="仿宋_GB2312" w:cs="仿宋_GB2312"/>
          <w:color w:val="000000"/>
        </w:rPr>
        <w:t>吨产品或原料不一致时，应进行单位调整换算。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VOCs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去除量</w:t>
      </w:r>
      <w:r>
        <w:rPr>
          <w:rFonts w:ascii="仿宋_GB2312" w:hAnsi="仿宋_GB2312" w:eastAsia="仿宋_GB2312" w:cs="仿宋_GB2312"/>
          <w:bCs/>
          <w:i w:val="0"/>
          <w:iCs/>
          <w:color w:val="000000"/>
          <w:sz w:val="32"/>
          <w:szCs w:val="32"/>
        </w:rPr>
        <w:t>E</w:t>
      </w:r>
      <w:r>
        <w:rPr>
          <w:rFonts w:hint="eastAsia" w:ascii="仿宋_GB2312" w:hAnsi="仿宋_GB2312" w:eastAsia="仿宋_GB2312" w:cs="仿宋_GB2312"/>
          <w:bCs/>
          <w:i w:val="0"/>
          <w:iCs/>
          <w:color w:val="000000"/>
          <w:sz w:val="32"/>
          <w:szCs w:val="32"/>
          <w:vertAlign w:val="subscript"/>
        </w:rPr>
        <w:t>去除</w:t>
      </w:r>
    </w:p>
    <w:p>
      <w:pPr>
        <w:spacing w:before="11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VOCs去除量按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公式进行计算。</w:t>
      </w:r>
    </w:p>
    <w:p>
      <w:pPr>
        <w:spacing w:before="11"/>
        <w:ind w:firstLine="420" w:firstLineChars="200"/>
        <w:jc w:val="center"/>
        <w:rPr>
          <w:rFonts w:ascii="仿宋_GB2312" w:hAnsi="仿宋_GB2312" w:eastAsia="仿宋_GB2312" w:cs="仿宋_GB2312"/>
          <w:i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</w:rPr>
        <w:drawing>
          <wp:inline distT="0" distB="0" distL="114300" distR="114300">
            <wp:extent cx="1943735" cy="401955"/>
            <wp:effectExtent l="0" t="0" r="10795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0"/>
          <w:rFonts w:ascii="仿宋_GB2312" w:hAnsi="仿宋_GB2312" w:eastAsia="仿宋_GB2312" w:cs="仿宋_GB2312"/>
          <w:color w:val="000000"/>
        </w:rPr>
        <w:t xml:space="preserve"> </w:t>
      </w:r>
    </w:p>
    <w:p>
      <w:pPr>
        <w:spacing w:before="11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式中：</w:t>
      </w:r>
    </w:p>
    <w:p>
      <w:pPr>
        <w:snapToGrid w:val="0"/>
        <w:ind w:firstLine="634" w:firstLineChars="302"/>
        <w:rPr>
          <w:rFonts w:ascii="仿宋_GB2312" w:hAnsi="仿宋_GB2312" w:eastAsia="仿宋_GB2312" w:cs="仿宋_GB2312"/>
          <w:color w:val="000000"/>
        </w:rPr>
      </w:pPr>
      <w:r>
        <w:rPr>
          <w:rFonts w:ascii="仿宋_GB2312" w:hAnsi="仿宋_GB2312" w:eastAsia="仿宋_GB2312" w:cs="仿宋_GB2312"/>
          <w:i/>
          <w:color w:val="000000"/>
          <w:kern w:val="0"/>
        </w:rPr>
        <w:t>E</w:t>
      </w:r>
      <w:r>
        <w:rPr>
          <w:rFonts w:hint="eastAsia" w:ascii="仿宋_GB2312" w:hAnsi="仿宋_GB2312" w:eastAsia="仿宋_GB2312" w:cs="仿宋_GB2312"/>
          <w:i/>
          <w:color w:val="000000"/>
          <w:kern w:val="0"/>
          <w:vertAlign w:val="subscript"/>
        </w:rPr>
        <w:t>投用，</w:t>
      </w:r>
      <w:r>
        <w:rPr>
          <w:rFonts w:ascii="仿宋_GB2312" w:hAnsi="仿宋_GB2312" w:eastAsia="仿宋_GB2312" w:cs="仿宋_GB2312"/>
          <w:i/>
          <w:color w:val="000000"/>
          <w:kern w:val="0"/>
          <w:vertAlign w:val="subscript"/>
        </w:rPr>
        <w:t>k</w:t>
      </w:r>
      <w:r>
        <w:rPr>
          <w:rFonts w:hint="eastAsia" w:ascii="仿宋_GB2312" w:hAnsi="仿宋_GB2312" w:eastAsia="仿宋_GB2312" w:cs="仿宋_GB2312"/>
          <w:color w:val="000000"/>
          <w:kern w:val="0"/>
        </w:rPr>
        <w:t>—核算</w:t>
      </w:r>
      <w:r>
        <w:rPr>
          <w:rFonts w:hint="eastAsia" w:ascii="仿宋_GB2312" w:hAnsi="仿宋_GB2312" w:eastAsia="仿宋_GB2312" w:cs="仿宋_GB2312"/>
          <w:color w:val="000000"/>
        </w:rPr>
        <w:t>期内污染控制设施</w:t>
      </w:r>
      <w:r>
        <w:rPr>
          <w:rFonts w:ascii="仿宋_GB2312" w:hAnsi="仿宋_GB2312" w:eastAsia="仿宋_GB2312" w:cs="仿宋_GB2312"/>
          <w:color w:val="000000"/>
        </w:rPr>
        <w:t>i对应的废气收集工段投用的各种物料中VOCs量之和，吨；</w:t>
      </w:r>
    </w:p>
    <w:p>
      <w:pPr>
        <w:snapToGrid w:val="0"/>
        <w:ind w:firstLine="525" w:firstLineChars="25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position w:val="-10"/>
        </w:rPr>
        <w:object>
          <v:shape id="_x0000_i1029" o:spt="75" type="#_x0000_t75" style="height:16.45pt;width:13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1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color w:val="000000"/>
        </w:rPr>
        <w:t>—</w:t>
      </w:r>
      <w:r>
        <w:rPr>
          <w:rFonts w:hint="eastAsia" w:ascii="仿宋_GB2312" w:hAnsi="仿宋_GB2312" w:eastAsia="仿宋_GB2312" w:cs="仿宋_GB2312"/>
          <w:color w:val="000000"/>
          <w:kern w:val="0"/>
        </w:rPr>
        <w:t>核算</w:t>
      </w:r>
      <w:r>
        <w:rPr>
          <w:rFonts w:hint="eastAsia" w:ascii="仿宋_GB2312" w:hAnsi="仿宋_GB2312" w:eastAsia="仿宋_GB2312" w:cs="仿宋_GB2312"/>
          <w:color w:val="000000"/>
        </w:rPr>
        <w:t>期内废气收集工段的废气收集率，</w:t>
      </w:r>
      <w:r>
        <w:rPr>
          <w:rFonts w:ascii="仿宋_GB2312" w:hAnsi="仿宋_GB2312" w:eastAsia="仿宋_GB2312" w:cs="仿宋_GB2312"/>
          <w:color w:val="000000"/>
        </w:rPr>
        <w:t>%。废气收集效率可参考下表1；</w:t>
      </w:r>
    </w:p>
    <w:p>
      <w:pPr>
        <w:snapToGrid w:val="0"/>
        <w:ind w:firstLine="525" w:firstLineChars="25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position w:val="-10"/>
        </w:rPr>
        <w:object>
          <v:shape id="_x0000_i1030" o:spt="75" type="#_x0000_t75" style="height:18.9pt;width:13.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2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color w:val="000000"/>
        </w:rPr>
        <w:t>—</w:t>
      </w:r>
      <w:r>
        <w:rPr>
          <w:rFonts w:hint="eastAsia" w:ascii="仿宋_GB2312" w:hAnsi="仿宋_GB2312" w:eastAsia="仿宋_GB2312" w:cs="仿宋_GB2312"/>
          <w:color w:val="000000"/>
          <w:kern w:val="0"/>
        </w:rPr>
        <w:t>核算</w:t>
      </w:r>
      <w:r>
        <w:rPr>
          <w:rFonts w:hint="eastAsia" w:ascii="仿宋_GB2312" w:hAnsi="仿宋_GB2312" w:eastAsia="仿宋_GB2312" w:cs="仿宋_GB2312"/>
          <w:color w:val="000000"/>
        </w:rPr>
        <w:t>期内污染控制设施</w:t>
      </w:r>
      <w:r>
        <w:rPr>
          <w:rFonts w:ascii="仿宋_GB2312" w:hAnsi="仿宋_GB2312" w:eastAsia="仿宋_GB2312" w:cs="仿宋_GB2312"/>
          <w:color w:val="000000"/>
        </w:rPr>
        <w:t>i的处理效率，%。废气治理效率可可参考下表2。</w:t>
      </w:r>
    </w:p>
    <w:p>
      <w:pPr>
        <w:snapToGrid w:val="0"/>
        <w:spacing w:before="11" w:line="240" w:lineRule="auto"/>
        <w:ind w:firstLine="640" w:firstLineChars="200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before="11" w:line="240" w:lineRule="auto"/>
        <w:ind w:firstLine="640" w:firstLineChars="200"/>
        <w:outlineLvl w:val="9"/>
        <w:rPr>
          <w:rFonts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 w:val="0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eastAsia="zh-Hans" w:bidi="ar"/>
        </w:rPr>
        <w:t>三</w:t>
      </w:r>
      <w:r>
        <w:rPr>
          <w:rFonts w:hint="eastAsia" w:ascii="Times New Roman" w:hAnsi="Times New Roman" w:eastAsia="楷体" w:cs="Times New Roman"/>
          <w:b w:val="0"/>
          <w:color w:val="000000"/>
          <w:kern w:val="0"/>
          <w:sz w:val="32"/>
          <w:szCs w:val="32"/>
          <w:lang w:eastAsia="zh-CN" w:bidi="ar"/>
        </w:rPr>
        <w:t>）相关系数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表</w:t>
      </w:r>
      <w:r>
        <w:rPr>
          <w:rFonts w:ascii="仿宋_GB2312" w:hAnsi="仿宋_GB2312" w:eastAsia="仿宋_GB2312" w:cs="仿宋_GB2312"/>
          <w:sz w:val="24"/>
          <w:szCs w:val="24"/>
        </w:rPr>
        <w:t xml:space="preserve">1 </w:t>
      </w:r>
      <w:r>
        <w:rPr>
          <w:rFonts w:hint="eastAsia" w:ascii="仿宋_GB2312" w:hAnsi="仿宋_GB2312" w:eastAsia="仿宋_GB2312" w:cs="仿宋_GB2312"/>
          <w:sz w:val="24"/>
          <w:szCs w:val="24"/>
        </w:rPr>
        <w:t>废气收集集气效率参考值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057"/>
        <w:gridCol w:w="1057"/>
        <w:gridCol w:w="1057"/>
        <w:gridCol w:w="1119"/>
        <w:gridCol w:w="1119"/>
        <w:gridCol w:w="105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废气收集方式</w:t>
            </w: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密闭管道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密闭空间（含密闭式集气罩）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半密闭集气罩</w:t>
            </w:r>
          </w:p>
          <w:p>
            <w:pPr>
              <w:spacing w:before="11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（含排气柜）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包围型集气罩</w:t>
            </w:r>
          </w:p>
          <w:p>
            <w:pPr>
              <w:spacing w:before="11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（含软帘）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符合标准要求的外部集气罩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其他收集方式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负压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正压</w:t>
            </w: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废气收集率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95%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90%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80%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65%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50%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30%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10%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Cs w:val="21"/>
          <w:lang w:eastAsia="zh-Hans"/>
        </w:rPr>
      </w:pPr>
      <w:r>
        <w:rPr>
          <w:rFonts w:hint="eastAsia" w:ascii="仿宋_GB2312" w:hAnsi="仿宋_GB2312" w:eastAsia="仿宋_GB2312" w:cs="仿宋_GB2312"/>
          <w:szCs w:val="21"/>
          <w:lang w:eastAsia="zh-Hans"/>
        </w:rPr>
        <w:t>参数来源：《主要污染物总量减排核算技术指南</w:t>
      </w:r>
      <w:r>
        <w:rPr>
          <w:rFonts w:ascii="仿宋_GB2312" w:hAnsi="仿宋_GB2312" w:eastAsia="仿宋_GB2312" w:cs="仿宋_GB2312"/>
          <w:szCs w:val="21"/>
          <w:lang w:eastAsia="zh-Hans"/>
        </w:rPr>
        <w:t>(2022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年修订</w:t>
      </w:r>
      <w:r>
        <w:rPr>
          <w:rFonts w:ascii="仿宋_GB2312" w:hAnsi="仿宋_GB2312" w:eastAsia="仿宋_GB2312" w:cs="仿宋_GB2312"/>
          <w:szCs w:val="21"/>
          <w:lang w:eastAsia="zh-Hans"/>
        </w:rPr>
        <w:t>)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》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表</w:t>
      </w:r>
      <w:r>
        <w:rPr>
          <w:rFonts w:ascii="仿宋_GB2312" w:hAnsi="仿宋_GB2312" w:eastAsia="仿宋_GB2312" w:cs="仿宋_GB2312"/>
          <w:sz w:val="24"/>
          <w:szCs w:val="24"/>
        </w:rPr>
        <w:t xml:space="preserve">2 </w:t>
      </w:r>
      <w:r>
        <w:rPr>
          <w:rFonts w:hint="eastAsia" w:ascii="仿宋_GB2312" w:hAnsi="仿宋_GB2312" w:eastAsia="仿宋_GB2312" w:cs="仿宋_GB2312"/>
          <w:sz w:val="24"/>
          <w:szCs w:val="24"/>
        </w:rPr>
        <w:t>废气治理设施去除效率参考值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973"/>
        <w:gridCol w:w="2203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治理技术</w:t>
            </w: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治理工艺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  <w:t>VOCs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去除率</w:t>
            </w:r>
            <w: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燃烧及其组合技术</w:t>
            </w: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蓄热燃烧（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RTO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）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旋转式分子筛吸附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脱附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蓄热燃烧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活性炭吸附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脱附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蓄热燃烧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直接燃烧（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T0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）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旋转式分子筛吸附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脱附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直接燃烧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活性炭吸附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脱附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直接燃烧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蓄热催化燃烧（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RCO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）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旋转式分子筛吸附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脱附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蓄热催化燃烧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催化燃烧（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C0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）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活性炭吸附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脱附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蓄热催化燃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旋转式分子筛吸附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脱附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催化燃烧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活性炭吸附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脱附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催化燃烧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吸附及其组合技术</w:t>
            </w: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一次性活性炭吸附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集中再生并活化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集中再生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不再生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低温等离子体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/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光解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/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光催化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一次性活性炭吸附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回收及其组合技术</w:t>
            </w: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冷凝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膜分离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吸附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冷凝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吸附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非轻烃（碳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及以上）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 xml:space="preserve"> </w:t>
            </w:r>
          </w:p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或深冷（冷凝温度低于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-80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摄氏度）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轻烃（碳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及以下）且冷冻水水冷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吸附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蒸气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/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氮气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/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空气等脱附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冷凝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其他技术</w:t>
            </w: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喷淋吸收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DMF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DMAC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废气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+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集中回收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甲醛、甲醇、乙醇等水溶性物质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非水溶性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VOCs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废气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生物降解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生物滴滤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生物过滤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生物洗涤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11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20%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Cs w:val="21"/>
          <w:lang w:eastAsia="zh-Hans"/>
        </w:rPr>
      </w:pPr>
      <w:r>
        <w:rPr>
          <w:rFonts w:hint="eastAsia" w:ascii="仿宋_GB2312" w:hAnsi="仿宋_GB2312" w:eastAsia="仿宋_GB2312" w:cs="仿宋_GB2312"/>
          <w:szCs w:val="21"/>
          <w:lang w:eastAsia="zh-Hans"/>
        </w:rPr>
        <w:t>参数来源：《主要污染物总量减排核算技术指南</w:t>
      </w:r>
      <w:r>
        <w:rPr>
          <w:rFonts w:ascii="仿宋_GB2312" w:hAnsi="仿宋_GB2312" w:eastAsia="仿宋_GB2312" w:cs="仿宋_GB2312"/>
          <w:szCs w:val="21"/>
          <w:lang w:eastAsia="zh-Hans"/>
        </w:rPr>
        <w:t>(2022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年修订</w:t>
      </w:r>
      <w:r>
        <w:rPr>
          <w:rFonts w:ascii="仿宋_GB2312" w:hAnsi="仿宋_GB2312" w:eastAsia="仿宋_GB2312" w:cs="仿宋_GB2312"/>
          <w:szCs w:val="21"/>
          <w:lang w:eastAsia="zh-Hans"/>
        </w:rPr>
        <w:t>)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》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20"/>
        </w:tabs>
        <w:snapToGrid w:val="0"/>
        <w:spacing w:line="360" w:lineRule="auto"/>
        <w:outlineLvl w:val="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二、氮氧化物（NOx）许可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排放量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计算方法</w:t>
      </w:r>
    </w:p>
    <w:p>
      <w:pPr>
        <w:widowControl/>
        <w:snapToGrid/>
        <w:spacing w:line="240" w:lineRule="auto"/>
        <w:ind w:firstLine="640" w:firstLineChars="200"/>
        <w:outlineLvl w:val="9"/>
        <w:rPr>
          <w:rFonts w:ascii="Times New Roman" w:hAnsi="Times New Roman" w:eastAsia="楷体" w:cs="Times New Roman"/>
          <w:b w:val="0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" w:cs="Times New Roman"/>
          <w:bCs w:val="0"/>
          <w:color w:val="000000"/>
          <w:kern w:val="0"/>
          <w:sz w:val="32"/>
          <w:szCs w:val="32"/>
          <w:lang w:bidi="ar"/>
        </w:rPr>
        <w:t>（一）</w:t>
      </w:r>
      <w:r>
        <w:rPr>
          <w:rFonts w:hint="eastAsia" w:ascii="Times New Roman" w:hAnsi="Times New Roman" w:eastAsia="楷体" w:cs="Times New Roman"/>
          <w:b w:val="0"/>
          <w:color w:val="000000"/>
          <w:kern w:val="0"/>
          <w:sz w:val="32"/>
          <w:szCs w:val="32"/>
          <w:lang w:bidi="ar"/>
        </w:rPr>
        <w:t>计算方法</w:t>
      </w:r>
    </w:p>
    <w:p>
      <w:pPr>
        <w:tabs>
          <w:tab w:val="left" w:pos="420"/>
        </w:tabs>
        <w:snapToGrid w:val="0"/>
        <w:spacing w:line="360" w:lineRule="auto"/>
        <w:ind w:firstLine="640" w:firstLineChars="200"/>
        <w:outlineLvl w:val="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锅炉氮氧化物许可排放量的计算一般采用排放系数法。</w:t>
      </w:r>
    </w:p>
    <w:p>
      <w:pPr>
        <w:ind w:firstLine="420"/>
        <w:jc w:val="center"/>
        <w:rPr>
          <w:rFonts w:ascii="仿宋_GB2312" w:hAnsi="仿宋_GB2312" w:eastAsia="仿宋_GB2312" w:cs="仿宋_GB2312"/>
        </w:rPr>
      </w:pPr>
      <m:oMath>
        <m:sSub>
          <m:sSubPr>
            <m:ctrlPr>
              <w:rPr>
                <w:rFonts w:hint="eastAsia" w:ascii="DejaVu Math TeX Gyre" w:hAnsi="DejaVu Math TeX Gyre" w:eastAsia="仿宋_GB2312" w:cs="仿宋_GB2312"/>
                <w:sz w:val="32"/>
                <w:szCs w:val="32"/>
              </w:rPr>
            </m:ctrlPr>
          </m:sSubPr>
          <m:e>
            <m:r>
              <m:rPr/>
              <w:rPr>
                <w:rFonts w:ascii="DejaVu Math TeX Gyre" w:hAnsi="DejaVu Math TeX Gyre" w:eastAsia="仿宋_GB2312" w:cs="仿宋_GB2312"/>
                <w:sz w:val="32"/>
                <w:szCs w:val="32"/>
              </w:rPr>
              <m:t>E</m:t>
            </m:r>
            <m:ctrlPr>
              <w:rPr>
                <w:rFonts w:hint="eastAsia" w:ascii="DejaVu Math TeX Gyre" w:hAnsi="DejaVu Math TeX Gyre" w:eastAsia="仿宋_GB2312" w:cs="仿宋_GB2312"/>
                <w:sz w:val="32"/>
                <w:szCs w:val="32"/>
              </w:rPr>
            </m:ctrlPr>
          </m:e>
          <m:sub>
            <m:r>
              <m:rPr/>
              <w:rPr>
                <w:rFonts w:hint="eastAsia" w:ascii="DejaVu Math TeX Gyre" w:hAnsi="DejaVu Math TeX Gyre" w:eastAsia="仿宋_GB2312" w:cs="仿宋_GB2312"/>
                <w:sz w:val="32"/>
                <w:szCs w:val="32"/>
              </w:rPr>
              <m:t>排</m:t>
            </m:r>
            <m:r>
              <m:rPr/>
              <w:rPr>
                <w:rFonts w:ascii="DejaVu Math TeX Gyre" w:hAnsi="DejaVu Math TeX Gyre" w:eastAsia="仿宋_GB2312" w:cs="仿宋_GB2312"/>
                <w:sz w:val="32"/>
                <w:szCs w:val="32"/>
              </w:rPr>
              <m:t>i</m:t>
            </m:r>
            <m:ctrlPr>
              <w:rPr>
                <w:rFonts w:hint="eastAsia" w:ascii="DejaVu Math TeX Gyre" w:hAnsi="DejaVu Math TeX Gyre" w:eastAsia="仿宋_GB2312" w:cs="仿宋_GB2312"/>
                <w:sz w:val="32"/>
                <w:szCs w:val="32"/>
              </w:rPr>
            </m:ctrlPr>
          </m:sub>
        </m:sSub>
      </m:oMath>
      <w:r>
        <w:rPr>
          <w:rFonts w:ascii="仿宋_GB2312" w:hAnsi="仿宋_GB2312" w:eastAsia="仿宋_GB2312" w:cs="仿宋_GB2312"/>
          <w:sz w:val="32"/>
          <w:szCs w:val="32"/>
        </w:rPr>
        <w:t>=</w:t>
      </w:r>
      <m:oMath>
        <m:sSub>
          <m:sSubPr>
            <m:ctrlPr>
              <w:rPr>
                <w:rFonts w:hint="eastAsia" w:ascii="DejaVu Math TeX Gyre" w:hAnsi="DejaVu Math TeX Gyre" w:eastAsia="仿宋_GB2312" w:cs="仿宋_GB2312"/>
                <w:sz w:val="32"/>
                <w:szCs w:val="32"/>
              </w:rPr>
            </m:ctrlPr>
          </m:sSubPr>
          <m:e>
            <m:r>
              <m:rPr/>
              <w:rPr>
                <w:rFonts w:ascii="DejaVu Math TeX Gyre" w:hAnsi="DejaVu Math TeX Gyre" w:eastAsia="仿宋_GB2312" w:cs="仿宋_GB2312"/>
                <w:sz w:val="32"/>
                <w:szCs w:val="32"/>
              </w:rPr>
              <m:t>E</m:t>
            </m:r>
            <m:ctrlPr>
              <w:rPr>
                <w:rFonts w:hint="eastAsia" w:ascii="DejaVu Math TeX Gyre" w:hAnsi="DejaVu Math TeX Gyre" w:eastAsia="仿宋_GB2312" w:cs="仿宋_GB2312"/>
                <w:sz w:val="32"/>
                <w:szCs w:val="32"/>
              </w:rPr>
            </m:ctrlPr>
          </m:e>
          <m:sub>
            <m:r>
              <m:rPr/>
              <w:rPr>
                <w:rFonts w:hint="eastAsia" w:ascii="DejaVu Math TeX Gyre" w:hAnsi="DejaVu Math TeX Gyre" w:eastAsia="仿宋_GB2312" w:cs="仿宋_GB2312"/>
                <w:sz w:val="32"/>
                <w:szCs w:val="32"/>
              </w:rPr>
              <m:t>产</m:t>
            </m:r>
            <m:ctrlPr>
              <w:rPr>
                <w:rFonts w:hint="eastAsia" w:ascii="DejaVu Math TeX Gyre" w:hAnsi="DejaVu Math TeX Gyre" w:eastAsia="仿宋_GB2312" w:cs="仿宋_GB2312"/>
                <w:sz w:val="32"/>
                <w:szCs w:val="32"/>
              </w:rPr>
            </m:ctrlPr>
          </m:sub>
        </m:sSub>
        <m:r>
          <m:rPr/>
          <w:rPr>
            <w:rFonts w:ascii="DejaVu Math TeX Gyre" w:hAnsi="DejaVu Math TeX Gyre" w:eastAsia="仿宋_GB2312" w:cs="仿宋_GB2312"/>
            <w:sz w:val="32"/>
            <w:szCs w:val="32"/>
          </w:rPr>
          <m:t>×</m:t>
        </m:r>
        <m:sSub>
          <m:sSubPr>
            <m:ctrlPr>
              <w:rPr>
                <w:rFonts w:hint="eastAsia" w:ascii="DejaVu Math TeX Gyre" w:hAnsi="DejaVu Math TeX Gyre" w:eastAsia="仿宋_GB2312" w:cs="仿宋_GB2312"/>
                <w:i/>
                <w:sz w:val="32"/>
                <w:szCs w:val="32"/>
              </w:rPr>
            </m:ctrlPr>
          </m:sSubPr>
          <m:e>
            <m:r>
              <m:rPr/>
              <w:rPr>
                <w:rFonts w:ascii="DejaVu Math TeX Gyre" w:hAnsi="DejaVu Math TeX Gyre" w:eastAsia="仿宋_GB2312" w:cs="仿宋_GB2312"/>
                <w:sz w:val="32"/>
                <w:szCs w:val="32"/>
              </w:rPr>
              <m:t>M</m:t>
            </m:r>
            <m:ctrlPr>
              <w:rPr>
                <w:rFonts w:hint="eastAsia" w:ascii="DejaVu Math TeX Gyre" w:hAnsi="DejaVu Math TeX Gyre" w:eastAsia="仿宋_GB2312" w:cs="仿宋_GB2312"/>
                <w:i/>
                <w:sz w:val="32"/>
                <w:szCs w:val="32"/>
              </w:rPr>
            </m:ctrlPr>
          </m:e>
          <m:sub>
            <m:r>
              <m:rPr/>
              <w:rPr>
                <w:rFonts w:ascii="DejaVu Math TeX Gyre" w:hAnsi="DejaVu Math TeX Gyre" w:eastAsia="仿宋_GB2312" w:cs="仿宋_GB2312"/>
                <w:sz w:val="32"/>
                <w:szCs w:val="32"/>
              </w:rPr>
              <m:t>i</m:t>
            </m:r>
            <m:ctrlPr>
              <w:rPr>
                <w:rFonts w:hint="eastAsia" w:ascii="DejaVu Math TeX Gyre" w:hAnsi="DejaVu Math TeX Gyre" w:eastAsia="仿宋_GB2312" w:cs="仿宋_GB2312"/>
                <w:i/>
                <w:sz w:val="32"/>
                <w:szCs w:val="32"/>
              </w:rPr>
            </m:ctrlPr>
          </m:sub>
        </m:sSub>
      </m:oMath>
    </w:p>
    <w:p>
      <w:pPr>
        <w:snapToGrid w:val="0"/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式中：</w:t>
      </w:r>
      <w:r>
        <w:rPr>
          <w:rFonts w:ascii="仿宋_GB2312" w:hAnsi="仿宋_GB2312" w:eastAsia="仿宋_GB2312" w:cs="仿宋_GB2312"/>
          <w:sz w:val="24"/>
        </w:rPr>
        <w:t>E</w:t>
      </w:r>
      <w:r>
        <w:rPr>
          <w:rFonts w:hint="eastAsia" w:ascii="仿宋_GB2312" w:hAnsi="仿宋_GB2312" w:eastAsia="仿宋_GB2312" w:cs="仿宋_GB2312"/>
          <w:sz w:val="24"/>
          <w:vertAlign w:val="subscript"/>
        </w:rPr>
        <w:t>排</w:t>
      </w:r>
      <w:r>
        <w:rPr>
          <w:rFonts w:ascii="仿宋_GB2312" w:hAnsi="仿宋_GB2312" w:eastAsia="仿宋_GB2312" w:cs="仿宋_GB2312"/>
          <w:sz w:val="24"/>
          <w:vertAlign w:val="subscript"/>
        </w:rPr>
        <w:t>i</w:t>
      </w:r>
      <w:r>
        <w:rPr>
          <w:rFonts w:hint="eastAsia" w:ascii="仿宋_GB2312" w:hAnsi="仿宋_GB2312" w:eastAsia="仿宋_GB2312" w:cs="仿宋_GB2312"/>
          <w:sz w:val="24"/>
        </w:rPr>
        <w:t>—工段</w:t>
      </w:r>
      <w:r>
        <w:rPr>
          <w:rFonts w:ascii="仿宋_GB2312" w:hAnsi="仿宋_GB2312" w:eastAsia="仿宋_GB2312" w:cs="仿宋_GB2312"/>
          <w:sz w:val="24"/>
        </w:rPr>
        <w:t>i</w:t>
      </w:r>
      <w:r>
        <w:rPr>
          <w:rFonts w:hint="eastAsia" w:ascii="仿宋_GB2312" w:hAnsi="仿宋_GB2312" w:eastAsia="仿宋_GB2312" w:cs="仿宋_GB2312"/>
          <w:sz w:val="24"/>
        </w:rPr>
        <w:t>氮氧化物的排放量；</w:t>
      </w:r>
    </w:p>
    <w:p>
      <w:pPr>
        <w:snapToGrid w:val="0"/>
        <w:ind w:left="1470" w:leftChars="7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E</w:t>
      </w:r>
      <w:r>
        <w:rPr>
          <w:rFonts w:hint="eastAsia" w:ascii="仿宋_GB2312" w:hAnsi="仿宋_GB2312" w:eastAsia="仿宋_GB2312" w:cs="仿宋_GB2312"/>
          <w:sz w:val="24"/>
          <w:vertAlign w:val="subscript"/>
        </w:rPr>
        <w:t>产</w:t>
      </w:r>
      <w:r>
        <w:rPr>
          <w:rFonts w:hint="eastAsia" w:ascii="仿宋_GB2312" w:hAnsi="仿宋_GB2312" w:eastAsia="仿宋_GB2312" w:cs="仿宋_GB2312"/>
          <w:sz w:val="24"/>
        </w:rPr>
        <w:t>—</w:t>
      </w:r>
      <w:r>
        <w:rPr>
          <w:rFonts w:ascii="仿宋_GB2312" w:hAnsi="仿宋_GB2312" w:eastAsia="仿宋_GB2312" w:cs="仿宋_GB2312"/>
          <w:sz w:val="24"/>
        </w:rPr>
        <w:t>-</w:t>
      </w:r>
      <w:r>
        <w:rPr>
          <w:rFonts w:hint="eastAsia" w:ascii="仿宋_GB2312" w:hAnsi="仿宋_GB2312" w:eastAsia="仿宋_GB2312" w:cs="仿宋_GB2312"/>
          <w:sz w:val="24"/>
        </w:rPr>
        <w:t>工段氮氧化物对应的排放系数；氮氧化物排放系数可参考《锅炉产排污量核算系数手册》。</w:t>
      </w:r>
    </w:p>
    <w:p>
      <w:pPr>
        <w:snapToGrid w:val="0"/>
        <w:ind w:firstLine="1440" w:firstLineChars="6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Mi</w:t>
      </w:r>
      <w:r>
        <w:rPr>
          <w:rFonts w:hint="eastAsia" w:ascii="仿宋_GB2312" w:hAnsi="仿宋_GB2312" w:eastAsia="仿宋_GB2312" w:cs="仿宋_GB2312"/>
          <w:sz w:val="24"/>
        </w:rPr>
        <w:t>—工段</w:t>
      </w:r>
      <w:r>
        <w:rPr>
          <w:rFonts w:ascii="仿宋_GB2312" w:hAnsi="仿宋_GB2312" w:eastAsia="仿宋_GB2312" w:cs="仿宋_GB2312"/>
          <w:sz w:val="24"/>
        </w:rPr>
        <w:t>i</w:t>
      </w:r>
      <w:r>
        <w:rPr>
          <w:rFonts w:hint="eastAsia" w:ascii="仿宋_GB2312" w:hAnsi="仿宋_GB2312" w:eastAsia="仿宋_GB2312" w:cs="仿宋_GB2312"/>
          <w:sz w:val="24"/>
        </w:rPr>
        <w:t>的产品总量</w:t>
      </w:r>
      <w:r>
        <w:rPr>
          <w:rFonts w:ascii="仿宋_GB2312" w:hAnsi="仿宋_GB2312" w:eastAsia="仿宋_GB2312" w:cs="仿宋_GB2312"/>
          <w:sz w:val="24"/>
        </w:rPr>
        <w:t>/</w:t>
      </w:r>
      <w:r>
        <w:rPr>
          <w:rFonts w:hint="eastAsia" w:ascii="仿宋_GB2312" w:hAnsi="仿宋_GB2312" w:eastAsia="仿宋_GB2312" w:cs="仿宋_GB2312"/>
          <w:sz w:val="24"/>
        </w:rPr>
        <w:t>原料总量</w:t>
      </w:r>
    </w:p>
    <w:p>
      <w:pPr>
        <w:widowControl/>
        <w:snapToGrid/>
        <w:spacing w:line="240" w:lineRule="auto"/>
        <w:ind w:firstLine="640" w:firstLineChars="200"/>
        <w:outlineLvl w:val="9"/>
        <w:rPr>
          <w:rFonts w:ascii="Times New Roman" w:hAnsi="Times New Roman" w:eastAsia="楷体" w:cs="Times New Roman"/>
          <w:b w:val="0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" w:cs="Times New Roman"/>
          <w:b w:val="0"/>
          <w:color w:val="000000"/>
          <w:kern w:val="0"/>
          <w:sz w:val="32"/>
          <w:szCs w:val="32"/>
          <w:lang w:bidi="ar"/>
        </w:rPr>
        <w:t>（二）相关系数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表</w:t>
      </w:r>
      <w:r>
        <w:rPr>
          <w:rFonts w:ascii="仿宋_GB2312" w:hAnsi="仿宋_GB2312" w:eastAsia="仿宋_GB2312" w:cs="仿宋_GB2312"/>
          <w:sz w:val="24"/>
          <w:szCs w:val="24"/>
        </w:rPr>
        <w:t xml:space="preserve">3 </w:t>
      </w:r>
      <w:r>
        <w:rPr>
          <w:rFonts w:hint="eastAsia" w:ascii="仿宋_GB2312" w:hAnsi="仿宋_GB2312" w:eastAsia="仿宋_GB2312" w:cs="仿宋_GB2312"/>
          <w:sz w:val="24"/>
          <w:szCs w:val="24"/>
        </w:rPr>
        <w:t>工业锅炉氮氧化物排放系数</w:t>
      </w:r>
    </w:p>
    <w:tbl>
      <w:tblPr>
        <w:tblStyle w:val="10"/>
        <w:tblW w:w="89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243"/>
        <w:gridCol w:w="1276"/>
        <w:gridCol w:w="1418"/>
        <w:gridCol w:w="1275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产品名称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原料名称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工艺名称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污染物种类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排放系数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蒸汽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热水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天然气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室燃炉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氮氧化物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kg/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m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vertAlign w:val="superscript"/>
              </w:rPr>
              <w:t>3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原料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15.87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（低氮燃烧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国内一般）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6.97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（低氮燃烧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国内领先）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3.03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（低氮燃烧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国际领先）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Cs w:val="21"/>
          <w:lang w:eastAsia="zh-Hans"/>
        </w:rPr>
        <w:t>参数来源：</w:t>
      </w:r>
      <w:r>
        <w:rPr>
          <w:rFonts w:hint="eastAsia" w:ascii="仿宋_GB2312" w:hAnsi="仿宋_GB2312" w:eastAsia="仿宋_GB2312" w:cs="仿宋_GB2312"/>
          <w:sz w:val="21"/>
          <w:szCs w:val="21"/>
          <w:lang w:eastAsia="zh-Hans"/>
        </w:rPr>
        <w:t>《锅炉产排污量核算系数手册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》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MingLiU">
    <w:altName w:val="方正书宋_GBK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YTc5YmYzMWI5ZmRhYjViZjQxNGZhYjMxZTZiZDQifQ=="/>
  </w:docVars>
  <w:rsids>
    <w:rsidRoot w:val="00172A27"/>
    <w:rsid w:val="000833CA"/>
    <w:rsid w:val="00092DBF"/>
    <w:rsid w:val="00092EE2"/>
    <w:rsid w:val="00095B66"/>
    <w:rsid w:val="000C23A3"/>
    <w:rsid w:val="000D7448"/>
    <w:rsid w:val="000E13A4"/>
    <w:rsid w:val="000F7DFF"/>
    <w:rsid w:val="00107818"/>
    <w:rsid w:val="00111CE3"/>
    <w:rsid w:val="001218E6"/>
    <w:rsid w:val="0014531D"/>
    <w:rsid w:val="0015495E"/>
    <w:rsid w:val="00172708"/>
    <w:rsid w:val="00172A27"/>
    <w:rsid w:val="00174C33"/>
    <w:rsid w:val="00185FA2"/>
    <w:rsid w:val="0018776D"/>
    <w:rsid w:val="001D0A12"/>
    <w:rsid w:val="0020117D"/>
    <w:rsid w:val="00213702"/>
    <w:rsid w:val="002157A6"/>
    <w:rsid w:val="00237196"/>
    <w:rsid w:val="002641EB"/>
    <w:rsid w:val="00271EA1"/>
    <w:rsid w:val="002778ED"/>
    <w:rsid w:val="00285F71"/>
    <w:rsid w:val="002B3BA5"/>
    <w:rsid w:val="002D1111"/>
    <w:rsid w:val="002D23FB"/>
    <w:rsid w:val="003140AB"/>
    <w:rsid w:val="003258F2"/>
    <w:rsid w:val="00326FCB"/>
    <w:rsid w:val="00337893"/>
    <w:rsid w:val="00365C0B"/>
    <w:rsid w:val="00373688"/>
    <w:rsid w:val="003A4A53"/>
    <w:rsid w:val="003B119F"/>
    <w:rsid w:val="003B7B1D"/>
    <w:rsid w:val="003D58DA"/>
    <w:rsid w:val="0040306E"/>
    <w:rsid w:val="00414915"/>
    <w:rsid w:val="00431B64"/>
    <w:rsid w:val="00437983"/>
    <w:rsid w:val="00437F19"/>
    <w:rsid w:val="00445B0E"/>
    <w:rsid w:val="00446661"/>
    <w:rsid w:val="00476B9F"/>
    <w:rsid w:val="004A66C9"/>
    <w:rsid w:val="004D6EDC"/>
    <w:rsid w:val="004E24E4"/>
    <w:rsid w:val="005177C1"/>
    <w:rsid w:val="00571DFD"/>
    <w:rsid w:val="005B51F6"/>
    <w:rsid w:val="005B679F"/>
    <w:rsid w:val="005C31D2"/>
    <w:rsid w:val="0062098B"/>
    <w:rsid w:val="006256B7"/>
    <w:rsid w:val="00636901"/>
    <w:rsid w:val="0065317B"/>
    <w:rsid w:val="006578A1"/>
    <w:rsid w:val="006705CE"/>
    <w:rsid w:val="006957A1"/>
    <w:rsid w:val="00696FEE"/>
    <w:rsid w:val="006E686C"/>
    <w:rsid w:val="006F4663"/>
    <w:rsid w:val="00712C6A"/>
    <w:rsid w:val="00722B93"/>
    <w:rsid w:val="00733ED3"/>
    <w:rsid w:val="00793B9F"/>
    <w:rsid w:val="007A2053"/>
    <w:rsid w:val="007B7FED"/>
    <w:rsid w:val="007D0B18"/>
    <w:rsid w:val="007F34CB"/>
    <w:rsid w:val="007F7089"/>
    <w:rsid w:val="007F7954"/>
    <w:rsid w:val="00856744"/>
    <w:rsid w:val="00860847"/>
    <w:rsid w:val="00871AB8"/>
    <w:rsid w:val="008727DB"/>
    <w:rsid w:val="00897B2D"/>
    <w:rsid w:val="008A705D"/>
    <w:rsid w:val="008E377F"/>
    <w:rsid w:val="00922C77"/>
    <w:rsid w:val="00923053"/>
    <w:rsid w:val="009248FF"/>
    <w:rsid w:val="00935FD4"/>
    <w:rsid w:val="00953FFC"/>
    <w:rsid w:val="009676BB"/>
    <w:rsid w:val="00976EFE"/>
    <w:rsid w:val="00987E62"/>
    <w:rsid w:val="009B3F70"/>
    <w:rsid w:val="009C783C"/>
    <w:rsid w:val="009D6F1D"/>
    <w:rsid w:val="00A057C0"/>
    <w:rsid w:val="00A175AE"/>
    <w:rsid w:val="00A2067F"/>
    <w:rsid w:val="00A24121"/>
    <w:rsid w:val="00A32BB9"/>
    <w:rsid w:val="00A71D78"/>
    <w:rsid w:val="00A73C32"/>
    <w:rsid w:val="00A7716E"/>
    <w:rsid w:val="00A82BB3"/>
    <w:rsid w:val="00A86B95"/>
    <w:rsid w:val="00AB4A05"/>
    <w:rsid w:val="00AB6FB9"/>
    <w:rsid w:val="00AB7AFC"/>
    <w:rsid w:val="00AE1BAA"/>
    <w:rsid w:val="00B05B6C"/>
    <w:rsid w:val="00B07C4C"/>
    <w:rsid w:val="00B2365B"/>
    <w:rsid w:val="00B2624B"/>
    <w:rsid w:val="00B40034"/>
    <w:rsid w:val="00B51B77"/>
    <w:rsid w:val="00B954DC"/>
    <w:rsid w:val="00BA709C"/>
    <w:rsid w:val="00BB1A3E"/>
    <w:rsid w:val="00BE0559"/>
    <w:rsid w:val="00BF1932"/>
    <w:rsid w:val="00C1214F"/>
    <w:rsid w:val="00C23EE7"/>
    <w:rsid w:val="00C36D08"/>
    <w:rsid w:val="00C57157"/>
    <w:rsid w:val="00C867D7"/>
    <w:rsid w:val="00CD0150"/>
    <w:rsid w:val="00CE1665"/>
    <w:rsid w:val="00CE4770"/>
    <w:rsid w:val="00CF5A78"/>
    <w:rsid w:val="00D32804"/>
    <w:rsid w:val="00D51EB9"/>
    <w:rsid w:val="00DA708D"/>
    <w:rsid w:val="00DD2342"/>
    <w:rsid w:val="00DD2E3B"/>
    <w:rsid w:val="00DD3BBB"/>
    <w:rsid w:val="00E1323B"/>
    <w:rsid w:val="00E151CC"/>
    <w:rsid w:val="00E1749C"/>
    <w:rsid w:val="00E53188"/>
    <w:rsid w:val="00E7782B"/>
    <w:rsid w:val="00EA47B3"/>
    <w:rsid w:val="00EE4679"/>
    <w:rsid w:val="00EF2754"/>
    <w:rsid w:val="00F772D5"/>
    <w:rsid w:val="00F969F6"/>
    <w:rsid w:val="00FB5C12"/>
    <w:rsid w:val="00FD0C6F"/>
    <w:rsid w:val="00FD71D3"/>
    <w:rsid w:val="00FF0F80"/>
    <w:rsid w:val="0C4E15F0"/>
    <w:rsid w:val="1F731448"/>
    <w:rsid w:val="2363B869"/>
    <w:rsid w:val="26BF9F8E"/>
    <w:rsid w:val="333E5768"/>
    <w:rsid w:val="37EBF2EF"/>
    <w:rsid w:val="55DF8943"/>
    <w:rsid w:val="56DEC863"/>
    <w:rsid w:val="57FF80D8"/>
    <w:rsid w:val="6FEFFBF8"/>
    <w:rsid w:val="73CFA93A"/>
    <w:rsid w:val="7CFE9AF9"/>
    <w:rsid w:val="7D7EC792"/>
    <w:rsid w:val="7DBB1F68"/>
    <w:rsid w:val="7EDEB7BA"/>
    <w:rsid w:val="7EEBD071"/>
    <w:rsid w:val="7EFE395A"/>
    <w:rsid w:val="7F177DBE"/>
    <w:rsid w:val="7F39992E"/>
    <w:rsid w:val="7F7F82E5"/>
    <w:rsid w:val="7F9E62FB"/>
    <w:rsid w:val="7FF3EE33"/>
    <w:rsid w:val="ABFF5F21"/>
    <w:rsid w:val="B7BFC6B3"/>
    <w:rsid w:val="BE3E3B20"/>
    <w:rsid w:val="BFBB6B5C"/>
    <w:rsid w:val="CDF35B53"/>
    <w:rsid w:val="DF9F521B"/>
    <w:rsid w:val="EBFFF0B0"/>
    <w:rsid w:val="EFFD2CBC"/>
    <w:rsid w:val="EFFFF249"/>
    <w:rsid w:val="F5BBAD10"/>
    <w:rsid w:val="F861D846"/>
    <w:rsid w:val="F9FF4B73"/>
    <w:rsid w:val="FF7F466E"/>
    <w:rsid w:val="FFAAF5FE"/>
    <w:rsid w:val="FFDFE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nhideWhenUsed/>
    <w:qFormat/>
    <w:uiPriority w:val="99"/>
    <w:rPr>
      <w:rFonts w:hint="default"/>
      <w:sz w:val="21"/>
      <w:szCs w:val="24"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11"/>
    <w:qFormat/>
    <w:uiPriority w:val="0"/>
    <w:rPr>
      <w:rFonts w:ascii="MingLiU" w:hAnsi="MingLiU" w:eastAsia="MingLiU" w:cs="MingLiU"/>
      <w:color w:val="000000"/>
      <w:sz w:val="20"/>
      <w:szCs w:val="20"/>
      <w:u w:val="none"/>
    </w:rPr>
  </w:style>
  <w:style w:type="character" w:customStyle="1" w:styleId="18">
    <w:name w:val="font7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19">
    <w:name w:val="Other|1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18"/>
      <w:szCs w:val="18"/>
      <w:lang w:val="zh-TW" w:eastAsia="zh-TW" w:bidi="zh-TW"/>
    </w:rPr>
  </w:style>
  <w:style w:type="character" w:styleId="20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oleObject" Target="embeddings/oleObject6.bin"/><Relationship Id="rId21" Type="http://schemas.openxmlformats.org/officeDocument/2006/relationships/oleObject" Target="embeddings/oleObject5.bin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wmf"/><Relationship Id="rId14" Type="http://schemas.openxmlformats.org/officeDocument/2006/relationships/oleObject" Target="embeddings/oleObject3.bin"/><Relationship Id="rId13" Type="http://schemas.openxmlformats.org/officeDocument/2006/relationships/image" Target="media/image7.wmf"/><Relationship Id="rId12" Type="http://schemas.openxmlformats.org/officeDocument/2006/relationships/oleObject" Target="embeddings/oleObject2.bin"/><Relationship Id="rId11" Type="http://schemas.openxmlformats.org/officeDocument/2006/relationships/image" Target="media/image6.pn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2808</Words>
  <Characters>3215</Characters>
  <Lines>26</Lines>
  <Paragraphs>7</Paragraphs>
  <TotalTime>19</TotalTime>
  <ScaleCrop>false</ScaleCrop>
  <LinksUpToDate>false</LinksUpToDate>
  <CharactersWithSpaces>3221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2022-07-05T19:28:00Z</dcterms:created>
  <dc:creator>张维</dc:creator>
  <cp:lastModifiedBy>xiaowang</cp:lastModifiedBy>
  <cp:lastPrinted>2023-04-08T19:22:00Z</cp:lastPrinted>
  <dcterms:modified xsi:type="dcterms:W3CDTF">2023-07-04T14:58:30Z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2C6A44BE98A431B0A318246490AAECEE</vt:lpwstr>
  </property>
</Properties>
</file>