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2023年8月7日03时13分，我局执法人员在执法检查时，发现你单位作为施工单位在深圳市南山区白石路与</w:t>
      </w:r>
      <w:bookmarkStart w:id="0" w:name="_GoBack"/>
      <w:bookmarkEnd w:id="0"/>
      <w:r>
        <w:rPr>
          <w:rFonts w:hint="eastAsia" w:ascii="仿宋_GB2312" w:hAnsi="仿宋_GB2312" w:eastAsia="仿宋_GB2312" w:cs="仿宋_GB2312"/>
          <w:kern w:val="0"/>
          <w:sz w:val="28"/>
          <w:szCs w:val="28"/>
          <w:u w:val="none"/>
        </w:rPr>
        <w:t xml:space="preserve">学府路交汇处西北方的桂庙新村历史遗留违法建筑拆除工程施工中，存在夜间在城市建成区内进行产生环境噪声的混凝土磨面建筑施工作业的环境违法行为，现场调查时发现使用了手持磨光机等施工设备。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建筑业企业资质证书、南山区房屋拆除工程备案回执（2023深南建管[003]</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336E9F"/>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341EF7"/>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2023-08-28T08:32:39Z</cp:lastPrinted>
  <dcterms:modified xsi:type="dcterms:W3CDTF">2023-08-28T08:32:44Z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