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w:t>
      </w:r>
      <w:bookmarkStart w:id="0" w:name="_GoBack"/>
      <w:bookmarkEnd w:id="0"/>
      <w:r>
        <w:rPr>
          <w:rFonts w:hint="eastAsia" w:ascii="方正小标宋简体" w:hAnsi="方正小标宋简体" w:eastAsia="方正小标宋简体" w:cs="方正小标宋简体"/>
          <w:b w:val="0"/>
          <w:bCs w:val="0"/>
          <w:color w:val="000000"/>
          <w:sz w:val="44"/>
          <w:szCs w:val="44"/>
        </w:rPr>
        <w:t>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16日01时33分，我局执法人员在执法检查时，发现你单位作为施工单位在深圳市前海深港现代服务业合作区创新六街与创新九街交汇处的桂湾四单元九年一贯制学校项目施工总承包主体结构、二次结构及粗装修工程施工中，存在夜间在城市建成区内进行产生环境噪声的钢筋切割建筑施工作业的环境违法行为，现场调查时发现使用了钢筋切割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2A13C2A"/>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403A52"/>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