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w:t>
      </w:r>
      <w:bookmarkStart w:id="0" w:name="_GoBack"/>
      <w:bookmarkEnd w:id="0"/>
      <w:r>
        <w:rPr>
          <w:rFonts w:hint="eastAsia" w:ascii="仿宋_GB2312" w:hAnsi="仿宋_GB2312" w:eastAsia="仿宋_GB2312" w:cs="仿宋_GB2312"/>
          <w:kern w:val="0"/>
          <w:sz w:val="28"/>
          <w:szCs w:val="28"/>
        </w:rPr>
        <w:t>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192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8月10日00时04分，我局执法人员在执法检查时，发现你单位作为施工单位在深圳市南山区西丽街道茶光路南侧的深圳至惠州城际前海保税区至坪地段工程1标（前保-五和）土建五工区西丽站围护结构工程施工中，存在夜间在城市建成区内进行产生环境噪声的挖土建筑施工作业的环境违法行为，现场调查时发现使用了挖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、监理日志、中标通知书复印件、施工合同复印件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B53654"/>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A6B09A9"/>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2023-09-13T07:09:30Z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C0CD0B90E1F149FD9B059ABD2C2EDB50_13</vt:lpwstr>
  </property>
</Properties>
</file>