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17日00时16分，我局执法人员在执法检查时，发现你单位作为施工单位在深圳市南山区妈湾十九单元梦海大道以南，妈湾一路以东的瑧玺家园项目总承包（EPC）工程劳务分包工程施工中，存在夜间在城市建成区内进行产生环境噪声的吊运材料建筑施工作业的环境违法行为，现场调查时发现使用了汽车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w:t>
      </w:r>
      <w:bookmarkStart w:id="0" w:name="_GoBack"/>
      <w:bookmarkEnd w:id="0"/>
      <w:r>
        <w:rPr>
          <w:rFonts w:hint="eastAsia" w:ascii="仿宋_GB2312" w:hAnsi="仿宋_GB2312" w:eastAsia="仿宋_GB2312" w:cs="仿宋_GB2312"/>
          <w:kern w:val="0"/>
          <w:sz w:val="28"/>
          <w:szCs w:val="28"/>
          <w:u w:val="none"/>
        </w:rPr>
        <w:t>监理日志、中标通知书复印件、《分包合同》复印件等证据为凭。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13263C"/>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2023-09-13T06:36:16Z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C0CD0B90E1F149FD9B059ABD2C2EDB50_13</vt:lpwstr>
  </property>
</Properties>
</file>