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w:t>
      </w:r>
      <w:bookmarkStart w:id="0" w:name="_GoBack"/>
      <w:bookmarkEnd w:id="0"/>
      <w:r>
        <w:rPr>
          <w:rFonts w:hint="eastAsia" w:ascii="仿宋_GB2312" w:hAnsi="仿宋_GB2312" w:eastAsia="仿宋_GB2312" w:cs="仿宋_GB2312"/>
          <w:kern w:val="0"/>
          <w:sz w:val="28"/>
          <w:szCs w:val="28"/>
          <w:lang w:eastAsia="zh-CN"/>
        </w:rPr>
        <w:t>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2023年7月29日13时28分，我局执法人员在执法检查时，发现当你单位作为施工单位在深圳市南山区留仙大道丽雅小区东侧的官龙学校项目施工总承包主体及二次结构劳务工程施工中，存在中午在城市建成区内进行产生环境噪声的吊卸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、中标通知书复印件、建筑业企业资质证书、安全生产许可证、分包合同复印件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4BF33EC"/>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4E535255"/>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2023-10-07T03:03:07Z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C0CD0B90E1F149FD9B059ABD2C2EDB50_13</vt:lpwstr>
  </property>
</Properties>
</file>