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72</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4月22日1时56分，我局执法人员在执法检查时，发现你单位作为施工单位在深圳市南山区西丽街道同发南路打石一路交汇处附近的深圳市城市轨道交通13号线施工总承包七工区西丽火车站-石鼓站区间主体劳务分包工程施工中，存在未取得生态环境主管部门出具的夜间作业证明在夜间进行产生环境噪声的混凝土浇筑建筑施工作业的环境违法行为，现场调查时发现使用了混凝土泵车、混凝土运输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法人授权委托书、监理日志、中标通知书、《分包工程合同》复印件等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bookmarkStart w:id="1" w:name="_GoBack"/>
      <w:bookmarkEnd w:id="1"/>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CC46E06"/>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2023-06-08T01:26:50Z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