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110</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2023年5月28日1时09分，我局执法人</w:t>
      </w:r>
      <w:bookmarkStart w:id="1" w:name="_GoBack"/>
      <w:bookmarkEnd w:id="1"/>
      <w:r>
        <w:rPr>
          <w:rFonts w:hint="eastAsia" w:ascii="仿宋_GB2312" w:hAnsi="仿宋_GB2312" w:eastAsia="仿宋_GB2312" w:cs="仿宋_GB2312"/>
          <w:kern w:val="0"/>
          <w:sz w:val="28"/>
          <w:szCs w:val="28"/>
          <w:u w:val="none"/>
        </w:rPr>
        <w:t xml:space="preserve">员在执法检查时，发现你单位作为施工单位在深圳市南山区西丽街道同发南路打石一路交汇处附近的深圳市城市轨道交通13号线施工总承包七工区西丽火车站-石鼓站区间主体劳务分包工程施工中，存在未取得生态环境主管部门出具的中午或者夜间作业证明在夜间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0F3039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2F4036AC"/>
    <w:rsid w:val="323A1EDF"/>
    <w:rsid w:val="32FC553B"/>
    <w:rsid w:val="33EE4385"/>
    <w:rsid w:val="36112A06"/>
    <w:rsid w:val="372B2D4A"/>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933</Characters>
  <Lines>0</Lines>
  <Paragraphs>0</Paragraphs>
  <TotalTime>1</TotalTime>
  <ScaleCrop>false</ScaleCrop>
  <LinksUpToDate>false</LinksUpToDate>
  <CharactersWithSpaces>1248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2023-06-08T01:43:18Z</cp:lastPrinted>
  <dcterms:modified xsi:type="dcterms:W3CDTF">2023-06-08T01:43:25Z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