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2023年9月23日00时12分，我局执法人员在执法检查时，发现你单位作为施工单位在深圳市南山区创科路和打石一路交汇处东南角的留仙智城幼儿园（施工）主体劳务分包工程施</w:t>
      </w:r>
      <w:bookmarkStart w:id="0" w:name="_GoBack"/>
      <w:bookmarkEnd w:id="0"/>
      <w:r>
        <w:rPr>
          <w:rFonts w:hint="eastAsia" w:ascii="仿宋_GB2312" w:hAnsi="仿宋_GB2312" w:eastAsia="仿宋_GB2312" w:cs="仿宋_GB2312"/>
          <w:kern w:val="0"/>
          <w:sz w:val="28"/>
          <w:szCs w:val="28"/>
          <w:u w:val="none"/>
        </w:rPr>
        <w:t xml:space="preserve">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183477"/>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B72FAC"/>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2023-11-14T03:30:03Z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