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245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2023年10月17日01时22分，我</w:t>
      </w:r>
      <w:bookmarkStart w:id="0" w:name="_GoBack"/>
      <w:bookmarkEnd w:id="0"/>
      <w:r>
        <w:rPr>
          <w:rFonts w:hint="eastAsia" w:ascii="仿宋_GB2312" w:hAnsi="仿宋_GB2312" w:eastAsia="仿宋_GB2312" w:cs="仿宋_GB2312"/>
          <w:kern w:val="0"/>
          <w:sz w:val="28"/>
          <w:szCs w:val="28"/>
          <w:u w:val="none"/>
        </w:rPr>
        <w:t xml:space="preserve">局执法人员在执法检查时，发现你单位作为施工单位在深圳市南山区粤海街道科苑北路与高新中四道交汇处的深圳市科苑大道地下空间综合开发主体工程（一工区）-中一区土石方工程施工中，存在夜间在城市建成区内进行产生环境噪声的挖土建筑施工作业的环境违法行为，现场调查时发现使用了挖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、建筑业企业资质证书、中标通知书复印件、监理日志、分包合同复印件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彭伟锋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851A7E"/>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8A17918"/>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2023-11-21T07:52:25Z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