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w:t>
      </w:r>
      <w:bookmarkStart w:id="0" w:name="_GoBack"/>
      <w:bookmarkEnd w:id="0"/>
      <w:r>
        <w:rPr>
          <w:rFonts w:hint="eastAsia" w:ascii="仿宋_GB2312" w:hAnsi="仿宋_GB2312" w:eastAsia="仿宋_GB2312" w:cs="仿宋_GB2312"/>
          <w:kern w:val="0"/>
          <w:sz w:val="28"/>
          <w:szCs w:val="28"/>
          <w:u w:val="none"/>
        </w:rPr>
        <w:t xml:space="preserve">月27日00时08分，我局执法人员在执法检查时，发现你单位作为施工单位在深圳市南山区龙辉花园的龙辉花园棚户区改造土石方、桩基支护项目桩基劳务分包工程施工中，存在夜间在城市建成区内进行产生环境噪声的吊机建筑施工作业的环境违法行为，现场调查时发现使用了吊机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、中标通知书复印件、劳务合同复印件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962485"/>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624DFA"/>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2023-11-21T07:54:06Z</cp:lastPrinted>
  <dcterms:modified xsi:type="dcterms:W3CDTF">2023-11-21T07:54:09Z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