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336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2023年11月29日1时1</w:t>
      </w:r>
      <w:bookmarkStart w:id="0" w:name="_GoBack"/>
      <w:bookmarkEnd w:id="0"/>
      <w:r>
        <w:rPr>
          <w:rFonts w:hint="eastAsia" w:ascii="仿宋_GB2312" w:hAnsi="仿宋_GB2312" w:eastAsia="仿宋_GB2312" w:cs="仿宋_GB2312"/>
          <w:kern w:val="0"/>
          <w:sz w:val="28"/>
          <w:szCs w:val="28"/>
          <w:u w:val="none"/>
        </w:rPr>
        <w:t xml:space="preserve">8分，我局执法人员在执法检查时，发现你单位作为施工单位在深圳市南山区前海合作区桂湾片区一单元的深铁前海国际枢纽中心（T2栋、T3栋、T4栋和T10栋）施工总承包工程的T4栋主体劳务及粗装修劳务分包工程施工中，存在夜间在城市建成区内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、定标结果审批表、分包合同复印件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余城德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A31036"/>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55A397A"/>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2024-01-03T01:21:32Z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