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343</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12月3日00时28分，我局执法人员在执法检查时，发现你单位作为施工单位在深圳市南山区龙辉花园的龙辉花园棚户区改造土石方、桩基支护项目桩基劳务分包工程施工中，存在夜间在城市建成区内进行产生环境噪声的吊机建筑施工作业的环境违法行为，现场调查时发现使用了吊机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、劳务合同复印件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李汉文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29</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9380497"/>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2024-01-03T01:18:16Z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C0CD0B90E1F149FD9B059ABD2C2EDB50_13</vt:lpwstr>
  </property>
</Properties>
</file>