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2023年11月11日3时14分，我局执法人员在执法检查时，发现你单位作为施工单位在深圳市南山区西</w:t>
      </w:r>
      <w:bookmarkStart w:id="0" w:name="_GoBack"/>
      <w:bookmarkEnd w:id="0"/>
      <w:r>
        <w:rPr>
          <w:rFonts w:hint="eastAsia" w:ascii="仿宋_GB2312" w:hAnsi="仿宋_GB2312" w:eastAsia="仿宋_GB2312" w:cs="仿宋_GB2312"/>
          <w:kern w:val="0"/>
          <w:sz w:val="28"/>
          <w:szCs w:val="28"/>
          <w:u w:val="none"/>
        </w:rPr>
        <w:t xml:space="preserve">丽街道茶光路南侧的粤港澳大湾区深圳都市圈城际铁路深圳至惠州城际前海保税区至坪地段工程1标（前保-五和）土建五工区西丽站主体结构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5C62E72"/>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0312"/>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2024-01-16T08:45:58Z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