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7日23时41分，我局执法人员在执法检查时，发现你单位作为施工单位在深圳市南山区西丽街道茶光路南侧的粤港澳大湾区深圳都市圈城际铁路深圳至惠州城际前海保税区至坪地段工程1标（前保-五和）土建五工区西丽站主体结构工程施工中，存在夜间在</w:t>
      </w:r>
      <w:bookmarkStart w:id="0" w:name="_GoBack"/>
      <w:bookmarkEnd w:id="0"/>
      <w:r>
        <w:rPr>
          <w:rFonts w:hint="eastAsia" w:ascii="仿宋_GB2312" w:hAnsi="仿宋_GB2312" w:eastAsia="仿宋_GB2312" w:cs="仿宋_GB2312"/>
          <w:kern w:val="0"/>
          <w:sz w:val="28"/>
          <w:szCs w:val="28"/>
          <w:u w:val="none"/>
        </w:rPr>
        <w:t xml:space="preserve">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DA55F3C"/>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6A7186"/>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2024-01-15T06:51:50Z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