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2023年11月27日13时33分，我局执法人员在执法检查时，发现你单位作为施工单位在深圳市南山区南山大道及玉泉路交界的天源华府项目工程混凝土工程施工劳务分包工程施工中，存在中</w:t>
      </w:r>
      <w:bookmarkStart w:id="0" w:name="_GoBack"/>
      <w:bookmarkEnd w:id="0"/>
      <w:r>
        <w:rPr>
          <w:rFonts w:hint="eastAsia" w:ascii="仿宋_GB2312" w:hAnsi="仿宋_GB2312" w:eastAsia="仿宋_GB2312" w:cs="仿宋_GB2312"/>
          <w:kern w:val="0"/>
          <w:sz w:val="28"/>
          <w:szCs w:val="28"/>
          <w:u w:val="none"/>
        </w:rPr>
        <w:t xml:space="preserve">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、施工劳务合同复印件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2DE1719"/>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E5688B"/>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2024-01-15T06:57:18Z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