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24</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仿宋_GB2312" w:hAnsi="宋体" w:eastAsia="仿宋_GB2312" w:cs="宋体"/>
          <w:kern w:val="0"/>
          <w:sz w:val="32"/>
          <w:szCs w:val="32"/>
          <w:highlight w:val="none"/>
          <w:u w:val="none"/>
          <w:lang w:val="en-US" w:eastAsia="zh-CN"/>
        </w:rPr>
      </w:pPr>
      <w:r>
        <w:rPr>
          <w:rFonts w:hint="eastAsia" w:ascii="仿宋_GB2312" w:hAnsi="宋体" w:eastAsia="仿宋_GB2312" w:cs="宋体"/>
          <w:kern w:val="0"/>
          <w:sz w:val="32"/>
          <w:szCs w:val="32"/>
          <w:highlight w:val="none"/>
          <w:u w:val="none"/>
          <w:lang w:val="en-US" w:eastAsia="zh-CN"/>
        </w:rPr>
        <w:t>个体工商户</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仿宋_GB2312" w:hAnsi="宋体" w:eastAsia="仿宋_GB2312" w:cs="宋体"/>
          <w:kern w:val="0"/>
          <w:sz w:val="32"/>
          <w:szCs w:val="32"/>
          <w:highlight w:val="none"/>
          <w:u w:val="none"/>
          <w:lang w:val="en-US" w:eastAsia="zh-CN"/>
        </w:rPr>
      </w:pPr>
      <w:r>
        <w:rPr>
          <w:rFonts w:hint="eastAsia" w:ascii="仿宋_GB2312" w:hAnsi="宋体" w:eastAsia="仿宋_GB2312" w:cs="宋体"/>
          <w:kern w:val="0"/>
          <w:sz w:val="32"/>
          <w:szCs w:val="32"/>
          <w:highlight w:val="none"/>
          <w:u w:val="none"/>
          <w:lang w:val="en-US" w:eastAsia="zh-CN"/>
        </w:rPr>
        <w:t xml:space="preserve">字号名称：***                                            </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仿宋_GB2312" w:hAnsi="宋体" w:eastAsia="仿宋_GB2312" w:cs="宋体"/>
          <w:kern w:val="0"/>
          <w:sz w:val="32"/>
          <w:szCs w:val="32"/>
          <w:highlight w:val="none"/>
          <w:u w:val="none"/>
          <w:lang w:val="en-US" w:eastAsia="zh-CN"/>
        </w:rPr>
      </w:pPr>
      <w:r>
        <w:rPr>
          <w:rFonts w:hint="eastAsia" w:ascii="仿宋_GB2312" w:hAnsi="宋体" w:eastAsia="仿宋_GB2312" w:cs="宋体"/>
          <w:kern w:val="0"/>
          <w:sz w:val="32"/>
          <w:szCs w:val="32"/>
          <w:highlight w:val="none"/>
          <w:u w:val="none"/>
          <w:lang w:val="en-US" w:eastAsia="zh-CN"/>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default" w:ascii="仿宋_GB2312" w:hAnsi="宋体" w:eastAsia="仿宋_GB2312" w:cs="宋体"/>
          <w:kern w:val="0"/>
          <w:sz w:val="32"/>
          <w:szCs w:val="32"/>
          <w:highlight w:val="none"/>
          <w:u w:val="none"/>
          <w:lang w:val="en-US" w:eastAsia="zh-CN"/>
        </w:rPr>
      </w:pPr>
      <w:r>
        <w:rPr>
          <w:rFonts w:hint="eastAsia" w:ascii="仿宋_GB2312" w:hAnsi="宋体" w:eastAsia="仿宋_GB2312" w:cs="宋体"/>
          <w:kern w:val="0"/>
          <w:sz w:val="32"/>
          <w:szCs w:val="32"/>
          <w:highlight w:val="none"/>
          <w:u w:val="none"/>
          <w:lang w:val="en-US" w:eastAsia="zh-CN"/>
        </w:rPr>
        <w:t xml:space="preserve">经营者姓名：***                                  </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仿宋_GB2312" w:hAnsi="宋体" w:eastAsia="仿宋_GB2312" w:cs="宋体"/>
          <w:kern w:val="0"/>
          <w:sz w:val="32"/>
          <w:szCs w:val="32"/>
          <w:highlight w:val="none"/>
          <w:u w:val="none"/>
          <w:lang w:val="en-US" w:eastAsia="zh-CN"/>
        </w:rPr>
      </w:pPr>
      <w:r>
        <w:rPr>
          <w:rFonts w:hint="eastAsia" w:ascii="仿宋_GB2312" w:hAnsi="宋体" w:eastAsia="仿宋_GB2312" w:cs="宋体"/>
          <w:kern w:val="0"/>
          <w:sz w:val="32"/>
          <w:szCs w:val="32"/>
          <w:highlight w:val="none"/>
          <w:u w:val="none"/>
          <w:lang w:val="en-US" w:eastAsia="zh-CN"/>
        </w:rPr>
        <w:t xml:space="preserve">证件类型及号码：***                   </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仿宋_GB2312" w:hAnsi="宋体" w:eastAsia="仿宋_GB2312" w:cs="宋体"/>
          <w:kern w:val="0"/>
          <w:sz w:val="32"/>
          <w:szCs w:val="32"/>
          <w:highlight w:val="none"/>
          <w:u w:val="none"/>
          <w:lang w:val="en-US" w:eastAsia="zh-CN"/>
        </w:rPr>
      </w:pPr>
      <w:r>
        <w:rPr>
          <w:rFonts w:hint="eastAsia" w:ascii="仿宋_GB2312" w:hAnsi="宋体" w:eastAsia="仿宋_GB2312" w:cs="宋体"/>
          <w:kern w:val="0"/>
          <w:sz w:val="32"/>
          <w:szCs w:val="32"/>
          <w:highlight w:val="none"/>
          <w:u w:val="none"/>
          <w:lang w:val="en-US" w:eastAsia="zh-CN"/>
        </w:rPr>
        <w:t xml:space="preserve">住址：***                                </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default" w:ascii="仿宋_GB2312" w:hAnsi="宋体" w:eastAsia="仿宋_GB2312" w:cs="宋体"/>
          <w:kern w:val="0"/>
          <w:sz w:val="32"/>
          <w:szCs w:val="32"/>
          <w:highlight w:val="none"/>
          <w:u w:val="none"/>
          <w:lang w:val="en-US" w:eastAsia="zh-CN"/>
        </w:rPr>
      </w:pPr>
      <w:r>
        <w:rPr>
          <w:rFonts w:hint="eastAsia" w:ascii="仿宋_GB2312" w:hAnsi="宋体" w:eastAsia="仿宋_GB2312" w:cs="宋体"/>
          <w:kern w:val="0"/>
          <w:sz w:val="32"/>
          <w:szCs w:val="32"/>
          <w:highlight w:val="none"/>
          <w:u w:val="none"/>
          <w:lang w:val="en-US" w:eastAsia="zh-CN"/>
        </w:rPr>
        <w:t>经营场所：***</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29日19时46分，我局执法人员对你单位位于深圳市南山区招商街道爱榕路兰园1街7号的经营场所进行执法检查。现场检查发现，你单位有营业执照，经营面积约30平方米，设置有炒锅一台，主要从事炒菜类等有油烟产生的餐饮服务项目，未安装油烟净化设备，产生的油烟通过排气扇于该店后窗户低空排放。现场检查发现，你单位经营现址所在建筑物属于商住综合楼，一楼为商用，二楼及以上为居民住宅，经营现址未配套专用烟道。</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你单位存在在未配套设立专用烟道的商住综合楼、商住综合楼内与居住层相邻的商业楼层内新建产生油烟、异味、废气的餐饮服务项目的环境违法行为。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1、2023年11月29日我局执法人员制作的现场检查（勘察）笔录证明我局执法人员的执法检查、调查情况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2、2023年11月29日我局执法人员制作的现场照片（图片/视频），证明你单位正在经营有油烟产生的餐饮服务项目且你单位所在建筑物未配套专用烟道；</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3、2023年11月29日你单位提供的营业执照复印件、</w:t>
      </w:r>
      <w:bookmarkStart w:id="0" w:name="_GoBack"/>
      <w:bookmarkEnd w:id="0"/>
      <w:r>
        <w:rPr>
          <w:rFonts w:hint="eastAsia" w:ascii="仿宋_GB2312" w:hAnsi="仿宋_GB2312" w:eastAsia="仿宋_GB2312" w:cs="仿宋_GB2312"/>
          <w:kern w:val="0"/>
          <w:sz w:val="28"/>
          <w:szCs w:val="28"/>
          <w:u w:val="none"/>
        </w:rPr>
        <w:t>身份证复印件，证明你单位的主体适格；</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4、2024年1月8日我局执法人员制作的商铺租赁合同、深圳市不动产登记中心查询件证明你单位经营现址所在建筑物属于商住综合楼，一楼为商铺，二楼及以上为住宅。</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5、见证人工作证，证明见证人身份。</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6、执法人员执法证复印件2份，证明执法人员身份合法。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 xml:space="preserve">你单位上述行为违反了《中华人民共和国大气污染防治法》第八十一条第二款的规定。 </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依据《中华人民共和国行政处罚法》第二十八条第一款和《中华人民共和国大气污染防治法》第一百一十八条第二款的规定，现责令你单位限期三十天内通过调整经营项目、终止经营产生油烟、异味、废气的餐饮服务项目、搬迁至可设立的经营场所等方式改正在未配套设立专用烟道的商住综合楼、商住综合楼内与居住层相邻的商业楼层内新建产生油烟、异味、废气的餐饮服务项目的环境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4"/>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4"/>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2024</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1C36251"/>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372785E"/>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4D7729A"/>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autoRedefine/>
    <w:unhideWhenUsed/>
    <w:qFormat/>
    <w:uiPriority w:val="99"/>
    <w:pPr>
      <w:ind w:firstLine="420" w:firstLineChars="200"/>
    </w:pPr>
  </w:style>
  <w:style w:type="paragraph" w:styleId="4">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2024-01-16T09:07:22Z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