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2023年12月25日0时40分，我局执法人员在执法检查时，发现你单位作为施工单位在深圳市南山区西丽街道同发南路与打石一路交汇处附近的深圳市城市轨道交通13号线施工总承</w:t>
      </w:r>
      <w:bookmarkStart w:id="0" w:name="_GoBack"/>
      <w:bookmarkEnd w:id="0"/>
      <w:r>
        <w:rPr>
          <w:rFonts w:hint="eastAsia" w:ascii="仿宋_GB2312" w:hAnsi="仿宋_GB2312" w:eastAsia="仿宋_GB2312" w:cs="仿宋_GB2312"/>
          <w:kern w:val="0"/>
          <w:sz w:val="28"/>
          <w:szCs w:val="28"/>
          <w:u w:val="none"/>
        </w:rPr>
        <w:t xml:space="preserve">包-七工区西石区间二次结构工程施工中，存在夜间在城市建成区内进行产生环境噪声的混凝土浇筑建筑施工作业的环境违法行为，现场调查时发现使用了混凝土运输车、混凝土泵车等施工设备。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3、2023年12月2</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日你单位提供的劳务施工合同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中标通知书，证明你单位为深圳市城市轨道交通13号线施工总承包-七工区西石区间二次结构工程的分包施工单位；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A51E3E"/>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713D80"/>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30E1B7A"/>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2024-01-22T08:35:50Z</cp:lastPrinted>
  <dcterms:modified xsi:type="dcterms:W3CDTF">2024-01-22T08:35:54Z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