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2024年1月5日13时14分，我局执法人员在执法检查时，发现你单位作为施工单位在深圳市南山区白石</w:t>
      </w:r>
      <w:bookmarkStart w:id="0" w:name="_GoBack"/>
      <w:bookmarkEnd w:id="0"/>
      <w:r>
        <w:rPr>
          <w:rFonts w:hint="eastAsia" w:ascii="仿宋_GB2312" w:hAnsi="仿宋_GB2312" w:eastAsia="仿宋_GB2312" w:cs="仿宋_GB2312"/>
          <w:kern w:val="0"/>
          <w:sz w:val="28"/>
          <w:szCs w:val="28"/>
          <w:highlight w:val="none"/>
          <w:u w:val="none"/>
        </w:rPr>
        <w:t xml:space="preserve">路与学府路交汇处西北方的桂庙新村城市更新项目总承包工程劳务分包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1、2024年1月5日我局执法人员制作的现场检查（勘察）笔录，2024年1月10日我局执法人员制作的调查询问笔录，证明我局执法人员的执法检查、调查情况；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2、2024年1月5日我局执法人员制作的现场照片（图片/视频），证明你单位存在中午在城市建成区内进行产生环境噪声的混凝土浇筑建筑施工作业的行为；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3、2024年1月10日你单位提供的营业执照复印件、法定代表人/负责人身份证明书、身份证复印件、法人授权委托书，证明你单位的主体适格；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4、2024年1月10日你单位提供的劳务分包合同、中标通知书，证明你单位为桂庙新村城市更新项目总承包工程劳务分包工程的分包施工单位；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401A33"/>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11628C"/>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2024-02-26T01:35:31Z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