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w:t>
      </w:r>
      <w:bookmarkStart w:id="0" w:name="_GoBack"/>
      <w:bookmarkEnd w:id="0"/>
      <w:r>
        <w:rPr>
          <w:rFonts w:hint="eastAsia" w:ascii="仿宋_GB2312" w:hAnsi="仿宋_GB2312" w:eastAsia="仿宋_GB2312" w:cs="仿宋_GB2312"/>
          <w:kern w:val="0"/>
          <w:sz w:val="28"/>
          <w:szCs w:val="28"/>
        </w:rPr>
        <w:t>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213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8月30日00时49分，我局执法人员在执法检查时，发现你单位作为施工单位在深圳市南山区西丽街道同发南路与打石一路交汇处附近的深圳市城市轨道交通13号线施工总承包七工区西丽火车站-石鼓站区间主体劳务分包工程施工中，存在夜间在城市建成区内进行产生环境噪声的混凝土浇筑建筑施工作业的环境违法行为，现场调查时发现使用了混凝土运输车、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、中标通知书复印件、监理日志、分包合同复印件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1935C8F"/>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8DB620E"/>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971080"/>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2023-10-20T07:14:21Z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