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41</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2024年1月7日23时41分，我局执法人员在执法检查时，发现你单位作为施工单位在深圳市南山区桃源街道大学城西丽湖路的丽岛花园棚户区改造项目施工总承包混凝土劳务分包</w:t>
      </w:r>
      <w:bookmarkStart w:id="0" w:name="_GoBack"/>
      <w:bookmarkEnd w:id="0"/>
      <w:r>
        <w:rPr>
          <w:rFonts w:hint="eastAsia" w:ascii="仿宋_GB2312" w:hAnsi="仿宋_GB2312" w:eastAsia="仿宋_GB2312" w:cs="仿宋_GB2312"/>
          <w:kern w:val="0"/>
          <w:sz w:val="28"/>
          <w:szCs w:val="28"/>
          <w:highlight w:val="none"/>
          <w:u w:val="none"/>
        </w:rPr>
        <w:t xml:space="preserve">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1、2024年1月7日我局执法人员制作的现场检查（勘察）笔录，2024年2月19日我局执法人员制作的调查询问笔录，证明我局执法人员的执法检查、调查情况；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2、2024年1月7日我局执法人员制作的现场照片（图片/视频），证明你单位存在夜间在城市建成区内进行产生环境噪声的混凝土浇筑建筑施工作业的行为；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3、2024年2月19日你单位提供的营业执照复印件、法定代表人/负责人身份证明书、身份证复印件、法人授权委托书，证明你单位的主体适格；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4、2024年2月19日你单位提供的劳务分包合同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中标通知书，证明你单位为丽岛花园棚户区改造项目施工总承包混凝土劳务分包工程的分包施工单位；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81108D"/>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1792F35"/>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4E249B"/>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2024-04-07T07:50:04Z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