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2024年3月26日0时2分，我局执法人员在执法检查时，发现你单位作为施工单位在深圳市南山区荔海二道南海中学的南海中学改扩建设计施工总承包项目桩基础工程施工中</w:t>
      </w:r>
      <w:bookmarkStart w:id="0" w:name="_GoBack"/>
      <w:bookmarkEnd w:id="0"/>
      <w:r>
        <w:rPr>
          <w:rFonts w:hint="eastAsia" w:ascii="仿宋_GB2312" w:hAnsi="仿宋_GB2312" w:eastAsia="仿宋_GB2312" w:cs="仿宋_GB2312"/>
          <w:kern w:val="0"/>
          <w:sz w:val="28"/>
          <w:szCs w:val="28"/>
          <w:highlight w:val="none"/>
          <w:u w:val="none"/>
        </w:rPr>
        <w:t xml:space="preserve">，存在夜间在城市建成区内进行产生环境噪声的混凝土浇筑建筑施工作业的环境违法行为，现场调查时发现使用了混凝土搅拌车等施工设备。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1、2024年3月26日我局执法人员制作的现场检查（勘察）笔录，2024年3月29日我局执法人员制作的调查询问笔录，证明我局执法人员的执法检查、调查情况；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2、2024年3月26日我局执法人员制作的现场照片（图片/视频），证明你单位存在夜间在城市建成区内进行产生环境噪声的混凝土浇筑建筑施工作业的行为；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3、2024年3月26日你单位提供的营业执照复印件、法定代表人身份证明书、身份证复印件、授权委托书等材料，证明你单位的主体适格；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4、2024年3月26日你单位提供的合同协议书等材料，证明你单位为南海中学改扩建设计施工总承包项目桩基础工程的分包施工单位；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0B5E45"/>
    <w:rsid w:val="385576E2"/>
    <w:rsid w:val="3A1D4415"/>
    <w:rsid w:val="3B92001C"/>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2024-04-28T02:47:52Z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