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80</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2024年4月4日2时17分，我局执法人员在执法检查时，发现你单位作为施工单位在深圳市南山区桂湾片</w:t>
      </w:r>
      <w:bookmarkStart w:id="0" w:name="_GoBack"/>
      <w:bookmarkEnd w:id="0"/>
      <w:r>
        <w:rPr>
          <w:rFonts w:hint="eastAsia" w:ascii="仿宋_GB2312" w:hAnsi="仿宋_GB2312" w:eastAsia="仿宋_GB2312" w:cs="仿宋_GB2312"/>
          <w:kern w:val="0"/>
          <w:sz w:val="28"/>
          <w:szCs w:val="28"/>
          <w:highlight w:val="none"/>
          <w:u w:val="none"/>
        </w:rPr>
        <w:t xml:space="preserve">区四单元03街坊的桂湾四单元九年一贯制学校项目施工总承包工程钢结构屋面安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1、2024年4月4日我局执法人员制作的现场检查（勘察）笔录，2024年4月17日我局执法人员制作的调查询问笔录，证明我局执法人员的执法检查、调查情况；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2、2024年4月4日我局执法人员制作的现场照片（图片/视频），证明你单位存在夜间在城市建成区内进行产生环境噪声的混凝土浇筑建筑施工作业的行为；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3、2024年4月4日你单位提供的营业执照复印件、法定代表人身份证明书、身份证复印件、授权委托书等材料，证明你单位的主体适格；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4、2024年4月4日你单位提供的分包合同、中标通知书等材料，证明你单位为桂湾四单元九年一贯制学校项目施工总承包工程钢结构屋面安装工程的分包施工单位；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B9F1B6E"/>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B84B3D"/>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4</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2024-04-28T02:53:23Z</cp:lastPrinted>
  <dcterms:modified xsi:type="dcterms:W3CDTF">2024-04-28T02:53:27Z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