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26日02时02分，我局执法人员在执法检查时，发现你单位作为施工单位在深圳市南山区南头街道同乐片区中山园路东侧的同乐公馆项目混凝土专项工程劳务分包项目施工中，存在夜间在城市建成区内进行产生环境噪声的混凝土浇筑建筑施工</w:t>
      </w:r>
      <w:bookmarkStart w:id="0" w:name="_GoBack"/>
      <w:bookmarkEnd w:id="0"/>
      <w:r>
        <w:rPr>
          <w:rFonts w:hint="eastAsia" w:ascii="仿宋_GB2312" w:hAnsi="仿宋_GB2312" w:eastAsia="仿宋_GB2312" w:cs="仿宋_GB2312"/>
          <w:kern w:val="0"/>
          <w:sz w:val="28"/>
          <w:szCs w:val="28"/>
          <w:highlight w:val="none"/>
          <w:u w:val="none"/>
        </w:rPr>
        <w:t xml:space="preserve">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1、2024年3月26日我局执法人员制作的现场检查（勘察）笔录，2024年4月8日我局执法人员制作的调查询问笔录，证明我局执法人员的执法检查、调查情况；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2、2024年3月26日我局执法人员制作的现场照片（图片/视频），证明你单位存在夜间在城市建成区内进行产生环境噪声的建筑施工作业的行为；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3、2024年4月8日你单位提供的营业执照复印件、法定代表人身份证明书、身份证复印件等材料，证明你单位的主体适格；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4、2024年4月8日你单位提供的分包合同等材料，证明你单位为同乐公馆项目混凝土专项工程劳务分包项目的分包施工单位；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583DEF"/>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B466F0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