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2024年3月29日0时51分，我局执法人员在执法检查时，发现你单位作为施工单位在深圳市南山区粤海街道</w:t>
      </w:r>
      <w:bookmarkStart w:id="0" w:name="_GoBack"/>
      <w:bookmarkEnd w:id="0"/>
      <w:r>
        <w:rPr>
          <w:rFonts w:hint="eastAsia" w:ascii="仿宋_GB2312" w:hAnsi="仿宋_GB2312" w:eastAsia="仿宋_GB2312" w:cs="仿宋_GB2312"/>
          <w:kern w:val="0"/>
          <w:sz w:val="28"/>
          <w:szCs w:val="28"/>
          <w:highlight w:val="none"/>
          <w:u w:val="none"/>
        </w:rPr>
        <w:t xml:space="preserve">科苑南路与高新南二道交汇处的深圳市城市轨道交通13号线工程土建二工区项目经理部深大东站、深大站、科兴站、松坪站主体结构分包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1、2024年3月29日我局执法人员制作的现场检查（勘察）笔录，2024年4月3日我局执法人员制作的调查询问笔录，证明我局执法人员的执法检查、调查情况；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2、2024年3月29日我局执法人员制作的现场照片（图片/视频），证明你单位存在夜间在城市建成区内进行产生环境噪声的建筑施工作业的行为；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3、2024年4月3日你单位提供的营业执照复印件、法定代表人身份证明书、身份证复印件、授权委托书等材料，证明你单位的主体适格；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4、2024年4月3日你单位提供的分包合同等材料，证明你单位为深圳市城市轨道交通13号线工程土建二工区项目经理部深大东站、深大站、科兴站、松坪站主体结构分包工程的分包施工单位；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B524A36"/>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5221CE"/>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2024-05-20T06:32:39Z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