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82</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2024年4月4日02时33分，我局执法人员在执法检查时，发现你单位作为施工单位在深圳市南山区西丽街道茶光路南侧的深惠城际铁路前海保税区至坪地段工程1标（前保-五和）土建五工区西丽</w:t>
      </w:r>
      <w:bookmarkStart w:id="0" w:name="_GoBack"/>
      <w:bookmarkEnd w:id="0"/>
      <w:r>
        <w:rPr>
          <w:rFonts w:hint="eastAsia" w:ascii="仿宋_GB2312" w:hAnsi="仿宋_GB2312" w:eastAsia="仿宋_GB2312" w:cs="仿宋_GB2312"/>
          <w:kern w:val="0"/>
          <w:sz w:val="28"/>
          <w:szCs w:val="28"/>
          <w:highlight w:val="none"/>
          <w:u w:val="none"/>
        </w:rPr>
        <w:t xml:space="preserve">站二期围护结构及钢管柱工程劳务分包工程施工中，存在夜间在城市建成区内进行产生环境噪声的打桩建筑施工作业的环境违法行为，现场调查时发现使用了旋挖桩机等施工设备。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1、2024年4月4日我局执法人员制作的现场检查（勘察）笔录、2024年4月6日调查询问笔录，证明我局执法人员的执法检查、调查情况；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2、2024年4月4日我局执法人员制作的现场照片（图片/视频），证明你单位存在夜间在城市建成区内进行产生环境噪声的建筑施工作业的行为；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3、2024年4月6日你单位提供的营业执照复印件、法定代表人身份证明书、身份证复印件、授权委托书，证明你单位的主体适格；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4、2024年4月6日你单位提供的劳务分包合同、中标通知书，证明你单位为深惠城际铁路前海保税区至坪地段工程1标（前保-五和）土建五工区西丽站二期围护结构及钢管柱工程劳务分包工程的分包施工单位；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3A6668"/>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A85AC8"/>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