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85</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2024年4月13日02时41分，我局执法人员在执法检查时，发现你单位作为施工单位在深圳市南山区月亮湾大道与桂庙路交叉口西侧100米的深圳都市圈城际铁路穗莞深城际</w:t>
      </w:r>
      <w:bookmarkStart w:id="0" w:name="_GoBack"/>
      <w:bookmarkEnd w:id="0"/>
      <w:r>
        <w:rPr>
          <w:rFonts w:hint="eastAsia" w:ascii="仿宋_GB2312" w:hAnsi="仿宋_GB2312" w:eastAsia="仿宋_GB2312" w:cs="仿宋_GB2312"/>
          <w:kern w:val="0"/>
          <w:sz w:val="28"/>
          <w:szCs w:val="28"/>
          <w:highlight w:val="none"/>
          <w:u w:val="none"/>
        </w:rPr>
        <w:t xml:space="preserve">前海至皇岗口岸段前海站至0-1#工作井盾构区间弃渣外运工程施工中，存在夜间在城市建成区内进行产生环境噪声的渣土分离作业，具体为使用挖机将工作井盾构区间产生的渣土投放到渣土分离设备进行渣土分离作业的建筑施工作业环境违法行为，现场调查时发现使用了挖机、渣土分离设备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1、2024年4月13日我局执法人员制作的现场检查（勘察）笔录，2024年4月23日我局执法人员制作的调查询问笔录，证明我局执法人员的执法检查、调查情况；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2、2024年4月13日我局执法人员制作的现场照片（图片/视频），证明你单位存在夜间在城市建成区内进行产生环境噪声的建筑施工作业的行为；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3、2024年4月13日你单位提供的营业执照复印件、法定代表人身份证明书、身份证复印件、授权委托书等材料，证明你单位的主体适格；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4、2024年4月13日你单位提供的分包合同等材料，证明你单位为深圳都市圈城际铁路穗莞深城际前海至皇岗口岸段前海站至0-1#工作井盾构区间弃渣外运工程的分包施工单位；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1A33D21"/>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8A21F9"/>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3E0FF6"/>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2024-05-14T03:26:12Z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