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89</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2024年4月19日1时00分，我局执法人员在执法检查时，发现你单位作为施工单位在深圳市南</w:t>
      </w:r>
      <w:bookmarkStart w:id="0" w:name="_GoBack"/>
      <w:bookmarkEnd w:id="0"/>
      <w:r>
        <w:rPr>
          <w:rFonts w:hint="eastAsia" w:ascii="仿宋_GB2312" w:hAnsi="仿宋_GB2312" w:eastAsia="仿宋_GB2312" w:cs="仿宋_GB2312"/>
          <w:kern w:val="0"/>
          <w:sz w:val="28"/>
          <w:szCs w:val="28"/>
          <w:highlight w:val="none"/>
          <w:u w:val="none"/>
        </w:rPr>
        <w:t xml:space="preserve">山区桃源街道大学城西丽湖路的丽岛花园棚户区改造项目施工总承包钢筋劳务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1、2024年4月19日我局执法人员制作的现场检查（勘察）笔录，2024年5月9日我局执法人员制作的调查询问笔录，证明我局执法人员的执法检查、调查情况；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2、2024年4月19日我局执法人员制作的现场照片（图片/视频），证明你单位存在夜间在城市建成区内进行产生环境噪声的建筑施工作业的行为；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3、2024年5月9日你单位提供的营业执照复印件、法定代表人身份证明书、身份证复印件、授权委托书等材料，证明你单位的主体适格；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4、2024年5月9日你单位提供的分包合同、中标通知书等材料，证明你单位为丽岛花园棚户区改造项目施工总承包钢筋劳务分包工程的分包施工单位；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BDC3FB3"/>
    <w:rsid w:val="3DEE6810"/>
    <w:rsid w:val="3E5E3D35"/>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2024-05-14T03:37:14Z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