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2024年4月20日13时13分，我局执法人员在执法检查时，发现你单位作为施工单位在深圳市南山区龙联花园的龙联花园棚户区改造项目设计采购施工总承包（EPC）工程土建劳务分包工</w:t>
      </w:r>
      <w:bookmarkStart w:id="0" w:name="_GoBack"/>
      <w:bookmarkEnd w:id="0"/>
      <w:r>
        <w:rPr>
          <w:rFonts w:hint="eastAsia" w:ascii="仿宋_GB2312" w:hAnsi="仿宋_GB2312" w:eastAsia="仿宋_GB2312" w:cs="仿宋_GB2312"/>
          <w:kern w:val="0"/>
          <w:sz w:val="28"/>
          <w:szCs w:val="28"/>
          <w:highlight w:val="none"/>
          <w:u w:val="none"/>
        </w:rPr>
        <w:t xml:space="preserve">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1、2024年4月20日我局执法人员制作的现场检查（勘察）笔录，2024年5月15日我局执法人员制作的调查询问笔录，证明我局执法人员的执法检查、调查情况；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2、2024年4月20日我局执法人员制作的现场照片（图片/视频），证明你单位存在中午在城市建成区内进行产生环境噪声的建筑施工作业的行为；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3、2024年5月15日你单位提供的营业执照复印件、法定代表人身份证明书、身份证复印件、授权委托书等材料，证明你单位的主体适格；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4、2024年5月15日你单位提供的分包合同、中标通知书等材料，证明你单位为龙联花园棚户区改造项目设计采购施工总承包（EPC）工程土建劳务分包工程的分包施工单位；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051406"/>
    <w:rsid w:val="439F340A"/>
    <w:rsid w:val="44B81EDA"/>
    <w:rsid w:val="44E965BF"/>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2024-05-20T06:37:10Z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