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4月22日0时22分，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w:t>
      </w:r>
      <w:bookmarkStart w:id="0" w:name="_GoBack"/>
      <w:bookmarkEnd w:id="0"/>
      <w:r>
        <w:rPr>
          <w:rFonts w:hint="eastAsia" w:ascii="仿宋_GB2312" w:hAnsi="仿宋_GB2312" w:eastAsia="仿宋_GB2312" w:cs="仿宋_GB2312"/>
          <w:kern w:val="0"/>
          <w:sz w:val="28"/>
          <w:szCs w:val="28"/>
          <w:highlight w:val="none"/>
          <w:u w:val="none"/>
        </w:rPr>
        <w:t>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1、2024年4月22日我局执法人员制作的现场检查（勘察）笔录，2024年5月9日我局执法人员制作的调查询问笔录，证明我局执法人员的执法检查、调查情况；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2、2024年4月22日我局执法人员制作的现场照片（图片/视频），证明你单位存在夜间在城市建成区内进行产生环境噪声的建筑施工作业的行为；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3、2024年5月9日你单位提供的营业执照复印件、法定代表人身份证明书、身份证复印件、授权委托书等材料，证明你单位的主体适格；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4、2024年5月9日你单位提供的分包合同、中标通知书等材料，证明你单位为学府医院站雨污水管线改迁工程劳务分包工程的分包施工单位；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0F55C0"/>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3F1A1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