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94</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4月20日1时54分，我局执法人员在执法检查时，发现你单位作为施工单位在深圳市南山区东角头地块的深圳歌剧院土石方、基坑支护和桩基工程项目专业分包工程施工中，存在夜间在城市建成区内进行产生环境噪声的打桩建筑施工作业的环境违法行为，现场调查时发现使用了桩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1、2024年4月20日我局执法</w:t>
      </w:r>
      <w:bookmarkStart w:id="0" w:name="_GoBack"/>
      <w:bookmarkEnd w:id="0"/>
      <w:r>
        <w:rPr>
          <w:rFonts w:hint="eastAsia" w:ascii="仿宋_GB2312" w:hAnsi="仿宋_GB2312" w:eastAsia="仿宋_GB2312" w:cs="仿宋_GB2312"/>
          <w:kern w:val="0"/>
          <w:sz w:val="28"/>
          <w:szCs w:val="28"/>
          <w:highlight w:val="none"/>
          <w:u w:val="none"/>
        </w:rPr>
        <w:t>人员制作的现场检查（勘察）笔录，2024年5月9日我局执法人员制作的调查询问笔录，证明我局执法人员的执法检查、调查情况；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2、2024年4月20日我局执法人员制作的现场照片（图片/视频），证明你单位存在夜间在城市建成区内进行产生环境噪声的建筑施工作业的行为；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3、2024年5月9日你单位提供的营业执照复印件、法定代表人身份证明书、身份证复印件、授权委托书等材料，证明你单位的主体适格；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4、2024年5月9日你单位提供的分包工程合同等材料，证明你单位为深圳歌剧院土石方、基坑支护和桩基工程项目专业分包工程的分包施工单位；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AD21E59"/>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281DC4"/>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2D10E5"/>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2024-05-14T03:40:56Z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