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114</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2024年5月30日03时01分，我局执法人员在执法检查时，发现你单位作为施工单位在深圳市</w:t>
      </w:r>
      <w:bookmarkStart w:id="0" w:name="_GoBack"/>
      <w:bookmarkEnd w:id="0"/>
      <w:r>
        <w:rPr>
          <w:rFonts w:hint="eastAsia" w:ascii="仿宋_GB2312" w:hAnsi="仿宋_GB2312" w:eastAsia="仿宋_GB2312" w:cs="仿宋_GB2312"/>
          <w:kern w:val="0"/>
          <w:sz w:val="28"/>
          <w:szCs w:val="28"/>
          <w:highlight w:val="none"/>
          <w:u w:val="none"/>
        </w:rPr>
        <w:t>南山区月亮湾大道与桂庙路交叉口西侧100米的深圳都市圈城际铁路穗莞深城际前海至皇岗口岸段前海站至0-1#工作井盾构区间弃渣外运工程施工中，在夜间（22:00-次日7:00）从事产生噪声的施工作业，现场正在进行渣土分离施工作业，使用了挖机、渣土分离设备等施工设备。</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你单位未按照《深圳市生态环境局关于加强中、高考期间噪声污染管控的通告》的要求，存在在高考备考期间未按照限制性规定排放噪声的环境违法行为。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1、2024年5月30日我局执法人员制作的现场检查（勘察）笔录，2024年6月3日我局执法人员制作的调查询问笔录，证明我局执法人员的执法检查、调查情况；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2、2024年5月30日我局执法人员制作的现场照片（图片/视频），证明你单位存在在高考备考期间未按照限制性规定排放噪声的建筑施工作业的行为；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3、2024年5月30日你单位提供的营业执照复印件、法定代表人身份证明书、身份证复印件、授权委托书等材料，证明你单位的主体适格；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4、2024年5月30日你单位提供的分包合同、中标通知书等材料，证明你单位为深圳都市圈城际铁路穗莞深城际前海至皇岗口岸段前海站至0-1#工作井盾构区间弃渣外运工程的分包施工单位；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你单位上述行为违反了《深圳经济特区环境噪声污染防治条例》第六十九条的规定。 </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依据《中华人民共和国行政处罚法》第二十八条第一款和《深圳经济特区环境噪声污染防治条例》第八十四条的规定，现责令你单位立即停止未按照限制性规定排放噪声的建筑施工作业的行为。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联系人：郑良灿</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9B4718"/>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01715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BE5D1B"/>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1105</Words>
  <Characters>1177</Characters>
  <Lines>0</Lines>
  <Paragraphs>0</Paragraphs>
  <TotalTime>0</TotalTime>
  <ScaleCrop>false</ScaleCrop>
  <LinksUpToDate>false</LinksUpToDate>
  <CharactersWithSpaces>1490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2024-06-11T03:12:22Z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C0CD0B90E1F149FD9B059ABD2C2EDB50_13</vt:lpwstr>
  </property>
</Properties>
</file>