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Cs/>
          <w:kern w:val="0"/>
          <w:sz w:val="44"/>
          <w:szCs w:val="32"/>
          <w:lang w:val="en-US" w:eastAsia="zh-CN"/>
        </w:rPr>
      </w:pPr>
      <w:r>
        <w:rPr>
          <w:rFonts w:hint="eastAsia" w:ascii="方正小标宋简体" w:hAnsi="方正小标宋简体" w:eastAsia="方正小标宋简体" w:cs="方正小标宋简体"/>
          <w:bCs/>
          <w:kern w:val="0"/>
          <w:sz w:val="44"/>
          <w:szCs w:val="32"/>
          <w:lang w:val="en-US" w:eastAsia="zh-CN"/>
        </w:rPr>
        <w:t>深圳市生态环境局规范性文件清理目录</w:t>
      </w:r>
    </w:p>
    <w:p>
      <w:pPr>
        <w:pStyle w:val="2"/>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Cs/>
          <w:kern w:val="0"/>
          <w:sz w:val="32"/>
          <w:szCs w:val="22"/>
          <w:lang w:val="en-US" w:eastAsia="zh-CN"/>
        </w:rPr>
        <w:t>（截至2024年5月31日）</w:t>
      </w:r>
    </w:p>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82"/>
        <w:gridCol w:w="4193"/>
        <w:gridCol w:w="181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34" w:type="dxa"/>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 w:val="28"/>
                <w:szCs w:val="28"/>
                <w:highlight w:val="none"/>
                <w:lang w:val="en-US" w:eastAsia="zh-CN"/>
              </w:rPr>
            </w:pPr>
            <w:bookmarkStart w:id="0" w:name="_GoBack"/>
            <w:r>
              <w:rPr>
                <w:rFonts w:hint="eastAsia" w:ascii="仿宋_GB2312" w:hAnsi="仿宋_GB2312" w:eastAsia="仿宋_GB2312" w:cs="仿宋_GB2312"/>
                <w:b/>
                <w:bCs/>
                <w:color w:val="auto"/>
                <w:sz w:val="28"/>
                <w:szCs w:val="28"/>
                <w:highlight w:val="none"/>
                <w:lang w:val="en-US" w:eastAsia="zh-CN"/>
              </w:rPr>
              <w:t>序号</w:t>
            </w:r>
          </w:p>
        </w:tc>
        <w:tc>
          <w:tcPr>
            <w:tcW w:w="882" w:type="dxa"/>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文件类别</w:t>
            </w:r>
          </w:p>
        </w:tc>
        <w:tc>
          <w:tcPr>
            <w:tcW w:w="4193" w:type="dxa"/>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文件名称</w:t>
            </w:r>
          </w:p>
        </w:tc>
        <w:tc>
          <w:tcPr>
            <w:tcW w:w="1817" w:type="dxa"/>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文号</w:t>
            </w:r>
          </w:p>
        </w:tc>
        <w:tc>
          <w:tcPr>
            <w:tcW w:w="1471" w:type="dxa"/>
            <w:noWrap/>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rPr>
              <w:t>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34"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w:t>
            </w:r>
          </w:p>
        </w:tc>
        <w:tc>
          <w:tcPr>
            <w:tcW w:w="882"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市政府规范性文件</w:t>
            </w:r>
          </w:p>
        </w:tc>
        <w:tc>
          <w:tcPr>
            <w:tcW w:w="4193" w:type="dxa"/>
            <w:noWrap w:val="0"/>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深圳市人民政府关于划定禁止使用高排放非道路移动机械区域的通告</w:t>
            </w:r>
          </w:p>
        </w:tc>
        <w:tc>
          <w:tcPr>
            <w:tcW w:w="181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color w:val="auto"/>
                <w:kern w:val="0"/>
                <w:sz w:val="24"/>
                <w:szCs w:val="24"/>
                <w:highlight w:val="none"/>
                <w:u w:val="none"/>
                <w:lang w:val="en-US" w:eastAsia="zh-CN" w:bidi="ar"/>
              </w:rPr>
              <w:t>深府规〔2018〕18 号</w:t>
            </w:r>
          </w:p>
        </w:tc>
        <w:tc>
          <w:tcPr>
            <w:tcW w:w="147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val="0"/>
                <w:bCs/>
                <w:i w:val="0"/>
                <w:color w:val="auto"/>
                <w:kern w:val="0"/>
                <w:sz w:val="24"/>
                <w:szCs w:val="24"/>
                <w:highlight w:val="none"/>
                <w:u w:val="none"/>
                <w:lang w:val="en-US" w:eastAsia="zh-CN" w:bidi="ar"/>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34"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w:t>
            </w:r>
          </w:p>
        </w:tc>
        <w:tc>
          <w:tcPr>
            <w:tcW w:w="882" w:type="dxa"/>
            <w:vMerge w:val="continue"/>
            <w:noWrap w:val="0"/>
            <w:vAlign w:val="center"/>
          </w:tcPr>
          <w:p>
            <w:pP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深圳市人民政府关于印发深圳市区域空间生态环境评价管理办法（试行）的通知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深府规〔2022〕2号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34"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3</w:t>
            </w:r>
          </w:p>
        </w:tc>
        <w:tc>
          <w:tcPr>
            <w:tcW w:w="882" w:type="dxa"/>
            <w:vMerge w:val="continue"/>
            <w:noWrap w:val="0"/>
            <w:vAlign w:val="center"/>
          </w:tcPr>
          <w:p>
            <w:pP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深圳市人民政府关于划定禁止使用高排放非道路移动机械区域的通告（有18年的，没有最新的，需要更新）</w:t>
            </w:r>
          </w:p>
        </w:tc>
        <w:tc>
          <w:tcPr>
            <w:tcW w:w="1817" w:type="dxa"/>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深府规〔2024〕2号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4</w:t>
            </w:r>
          </w:p>
        </w:tc>
        <w:tc>
          <w:tcPr>
            <w:tcW w:w="882" w:type="dxa"/>
            <w:vMerge w:val="restart"/>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部门规范性文件</w:t>
            </w: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市人居环境委市交通运输委市公安交警局关于对未取得绿色环保分类标志的机动车采取限行措施的通告</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深人环〔2016〕 295号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5</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 深圳市公安局交通警察局关于印发《深圳市机动车环保车型目录管理和环保信息公开核验办法》的通知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深环规〔2019〕3号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6</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 深圳市财政局关于印发《深圳市生态环境专项资金管理办法》的通知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深环规〔2020〕1号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34" w:type="dxa"/>
            <w:noWrap/>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7</w:t>
            </w:r>
          </w:p>
        </w:tc>
        <w:tc>
          <w:tcPr>
            <w:tcW w:w="882" w:type="dxa"/>
            <w:vMerge w:val="continue"/>
            <w:noWrap/>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深圳市生态环境局关于印发《关于积极服务企业推进生态环境治理能力现代化的若干资金措施》的通知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深环规〔2020〕2号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8</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深圳市生态环境局关于印发《深圳市建设项目环境影响评价审批和备案管理名录 （2021 年版）》的通知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深环规〔2020〕3号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9</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深圳市生态环境局、中国银行保险监督管理委员会深圳监管局关于印发《深圳市环境污染强制责任保险实施办法》的通知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深环规〔2021〕1号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10</w:t>
            </w:r>
          </w:p>
        </w:tc>
        <w:tc>
          <w:tcPr>
            <w:tcW w:w="882" w:type="dxa"/>
            <w:vMerge w:val="restart"/>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部门规范性文件</w:t>
            </w: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深圳市生态环境局关于深圳市提前实施国家第四阶段非道路移动机械排放标准的通告</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深环规〔2021〕2号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11</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深圳市生态环境局关于印发《深圳市入河(海)排放口管理暂行办法》的通知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深环规〔2021〕3号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12</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深圳市生态环境局关于印发《深圳市区域空间生态环境评价重点项目环境影响审批名录(试行)》的通知 </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深环规〔2022〕1号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13</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深圳市生态环境局关于印发《深圳市固定污染源排污许可分类管理名录》的通知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深环规〔2022〕2号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14</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深圳市建设项目环境影响报告书（表）编制监督检查办法</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深环规〔2022〕3号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深圳市生态环境局关于印发《深圳市碳普惠管理办法》的通知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深环规〔2022〕5号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16</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 深圳市财政局关于印发《深圳市大气环境质量提升补贴办法(2022—2025年)》的通知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深环规〔2022〕6号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34" w:type="dxa"/>
            <w:noWrap/>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17</w:t>
            </w:r>
          </w:p>
        </w:tc>
        <w:tc>
          <w:tcPr>
            <w:tcW w:w="882" w:type="dxa"/>
            <w:vMerge w:val="continue"/>
            <w:noWrap/>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深圳市生态环境局关于印发《深圳市生态环境违法行为举报奖励办法》的通知(2023修订) </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深环规〔2023〕1 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深圳市生态环境局关于《深圳市建设工程中午或者夜间施工作业证明核发管理办法(试行)》续期的通知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深环规〔2023〕2 号</w:t>
            </w:r>
          </w:p>
        </w:tc>
        <w:tc>
          <w:tcPr>
            <w:tcW w:w="1471" w:type="dxa"/>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19</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深圳市生态环境局关于印发《深圳市排污单位环境信用评价管理办法》的通知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深环规〔2023〕3号</w:t>
            </w:r>
          </w:p>
        </w:tc>
        <w:tc>
          <w:tcPr>
            <w:tcW w:w="1471" w:type="dxa"/>
            <w:noWrap/>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20</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深圳市生态环境局关于印发《深圳市生态环境行政执法裁量权基准规定》的通知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深环规〔2024〕1号</w:t>
            </w:r>
          </w:p>
        </w:tc>
        <w:tc>
          <w:tcPr>
            <w:tcW w:w="1471" w:type="dxa"/>
            <w:noWrap/>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21</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深圳市生态环境局关于印发《深圳经济特区生态环境保护条例》等19部行政处罚裁量标准（2024年版）的通知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深环规〔2024〕2号</w:t>
            </w:r>
          </w:p>
        </w:tc>
        <w:tc>
          <w:tcPr>
            <w:tcW w:w="1471" w:type="dxa"/>
            <w:noWrap/>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34" w:type="dxa"/>
            <w:noWrap w:val="0"/>
            <w:vAlign w:val="center"/>
          </w:tcPr>
          <w:p>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22</w:t>
            </w:r>
          </w:p>
        </w:tc>
        <w:tc>
          <w:tcPr>
            <w:tcW w:w="882" w:type="dxa"/>
            <w:vMerge w:val="continue"/>
            <w:noWrap w:val="0"/>
            <w:vAlign w:val="center"/>
          </w:tcPr>
          <w:p>
            <w:pPr>
              <w:jc w:val="cente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深圳市生态环境局关于印发《轻微环境违法行为不予处罚清单》等8部配套裁量标准（2024年版）的通知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深环规〔2024〕3号</w:t>
            </w:r>
          </w:p>
        </w:tc>
        <w:tc>
          <w:tcPr>
            <w:tcW w:w="1471" w:type="dxa"/>
            <w:noWrap/>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34" w:type="dxa"/>
            <w:noWrap/>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23</w:t>
            </w:r>
          </w:p>
        </w:tc>
        <w:tc>
          <w:tcPr>
            <w:tcW w:w="882" w:type="dxa"/>
            <w:vMerge w:val="restart"/>
            <w:noWrap/>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部门规范性文件</w:t>
            </w:r>
          </w:p>
        </w:tc>
        <w:tc>
          <w:tcPr>
            <w:tcW w:w="4193" w:type="dxa"/>
            <w:noWrap/>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深圳市生态环境地方标准管理办法</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深环规〔2024〕4号</w:t>
            </w:r>
          </w:p>
        </w:tc>
        <w:tc>
          <w:tcPr>
            <w:tcW w:w="1471" w:type="dxa"/>
            <w:noWrap/>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34"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24</w:t>
            </w:r>
          </w:p>
        </w:tc>
        <w:tc>
          <w:tcPr>
            <w:tcW w:w="882" w:type="dxa"/>
            <w:vMerge w:val="continue"/>
            <w:noWrap w:val="0"/>
            <w:vAlign w:val="center"/>
          </w:tcPr>
          <w:p>
            <w:pP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深圳市生态环境局关于印发《深圳市一般工业固体废物转移联单管理办法（试行）》的通知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深环规〔2024〕5号</w:t>
            </w:r>
          </w:p>
        </w:tc>
        <w:tc>
          <w:tcPr>
            <w:tcW w:w="1471" w:type="dxa"/>
            <w:noWrap/>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34"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25</w:t>
            </w:r>
          </w:p>
        </w:tc>
        <w:tc>
          <w:tcPr>
            <w:tcW w:w="882" w:type="dxa"/>
            <w:vMerge w:val="continue"/>
            <w:noWrap w:val="0"/>
            <w:vAlign w:val="center"/>
          </w:tcPr>
          <w:p>
            <w:pPr>
              <w:rPr>
                <w:rFonts w:hint="eastAsia" w:ascii="仿宋_GB2312" w:hAnsi="仿宋_GB2312" w:eastAsia="仿宋_GB2312" w:cs="仿宋_GB2312"/>
                <w:color w:val="auto"/>
                <w:sz w:val="24"/>
                <w:szCs w:val="24"/>
                <w:highlight w:val="none"/>
                <w:lang w:val="en-US" w:eastAsia="zh-CN"/>
              </w:rPr>
            </w:pPr>
          </w:p>
        </w:tc>
        <w:tc>
          <w:tcPr>
            <w:tcW w:w="4193" w:type="dxa"/>
            <w:noWrap w:val="0"/>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深圳市生态环境局关于印发《深圳市排污许可证核发细则》的通知</w:t>
            </w:r>
          </w:p>
        </w:tc>
        <w:tc>
          <w:tcPr>
            <w:tcW w:w="1817"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深环规〔2024〕6号</w:t>
            </w:r>
          </w:p>
        </w:tc>
        <w:tc>
          <w:tcPr>
            <w:tcW w:w="1471" w:type="dxa"/>
            <w:noWrap/>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534"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26</w:t>
            </w:r>
          </w:p>
        </w:tc>
        <w:tc>
          <w:tcPr>
            <w:tcW w:w="882" w:type="dxa"/>
            <w:vMerge w:val="continue"/>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4193"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关于印发《深圳市人居环境委员会 深圳市公安局交通警察局关于重型柴油车执行第五阶段国家机动车大气污染物排放标准的通告》的通知</w:t>
            </w:r>
          </w:p>
        </w:tc>
        <w:tc>
          <w:tcPr>
            <w:tcW w:w="181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深人环规〔2017〕1号</w:t>
            </w:r>
          </w:p>
        </w:tc>
        <w:tc>
          <w:tcPr>
            <w:tcW w:w="1471"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拟废止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534"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27</w:t>
            </w:r>
          </w:p>
        </w:tc>
        <w:tc>
          <w:tcPr>
            <w:tcW w:w="882" w:type="dxa"/>
            <w:vMerge w:val="continue"/>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4193"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深圳市人居环境委员会 深圳市公安局交通警察局关于轻型汽车执行第六阶段国家机动车大气污染物排放标准的通告</w:t>
            </w:r>
          </w:p>
        </w:tc>
        <w:tc>
          <w:tcPr>
            <w:tcW w:w="181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深人环规〔2018〕4号</w:t>
            </w:r>
          </w:p>
        </w:tc>
        <w:tc>
          <w:tcPr>
            <w:tcW w:w="1471"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highlight w:val="none"/>
                <w:u w:val="none"/>
                <w:lang w:val="en-US" w:eastAsia="zh-CN" w:bidi="ar-SA"/>
              </w:rPr>
            </w:pPr>
            <w:r>
              <w:rPr>
                <w:rFonts w:hint="eastAsia" w:ascii="仿宋_GB2312" w:hAnsi="仿宋_GB2312" w:eastAsia="仿宋_GB2312" w:cs="仿宋_GB2312"/>
                <w:b w:val="0"/>
                <w:bCs/>
                <w:i w:val="0"/>
                <w:color w:val="auto"/>
                <w:kern w:val="0"/>
                <w:sz w:val="24"/>
                <w:szCs w:val="24"/>
                <w:highlight w:val="none"/>
                <w:u w:val="none"/>
                <w:lang w:val="en-US" w:eastAsia="zh-CN" w:bidi="ar"/>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534"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28</w:t>
            </w:r>
          </w:p>
        </w:tc>
        <w:tc>
          <w:tcPr>
            <w:tcW w:w="882" w:type="dxa"/>
            <w:vMerge w:val="continue"/>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4193"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深圳市生态环境局 深圳市公安局交通警察局关于轻型汽车执行第六阶段国家机动车大气污染物排放标准的补充通知</w:t>
            </w:r>
          </w:p>
        </w:tc>
        <w:tc>
          <w:tcPr>
            <w:tcW w:w="181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深环规〔2019〕2号</w:t>
            </w:r>
          </w:p>
        </w:tc>
        <w:tc>
          <w:tcPr>
            <w:tcW w:w="1471"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highlight w:val="none"/>
                <w:u w:val="none"/>
                <w:lang w:val="en-US" w:eastAsia="zh-CN" w:bidi="ar-SA"/>
              </w:rPr>
            </w:pPr>
            <w:r>
              <w:rPr>
                <w:rFonts w:hint="eastAsia" w:ascii="仿宋_GB2312" w:hAnsi="仿宋_GB2312" w:eastAsia="仿宋_GB2312" w:cs="仿宋_GB2312"/>
                <w:b w:val="0"/>
                <w:bCs/>
                <w:i w:val="0"/>
                <w:color w:val="auto"/>
                <w:kern w:val="0"/>
                <w:sz w:val="24"/>
                <w:szCs w:val="24"/>
                <w:highlight w:val="none"/>
                <w:u w:val="none"/>
                <w:lang w:val="en-US" w:eastAsia="zh-CN" w:bidi="ar"/>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34"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29</w:t>
            </w:r>
          </w:p>
        </w:tc>
        <w:tc>
          <w:tcPr>
            <w:tcW w:w="882" w:type="dxa"/>
            <w:vMerge w:val="continue"/>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4193"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深圳市生态环境局关于印发《深圳市建设工程中午或者夜间施工作业证明核发管理办法（试行）》的通知</w:t>
            </w:r>
          </w:p>
        </w:tc>
        <w:tc>
          <w:tcPr>
            <w:tcW w:w="181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深环规〔2022〕4号</w:t>
            </w:r>
          </w:p>
        </w:tc>
        <w:tc>
          <w:tcPr>
            <w:tcW w:w="1471"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2"/>
                <w:sz w:val="24"/>
                <w:szCs w:val="24"/>
                <w:highlight w:val="none"/>
                <w:u w:val="none"/>
                <w:lang w:val="en-US" w:eastAsia="zh-CN" w:bidi="ar-SA"/>
              </w:rPr>
            </w:pPr>
            <w:r>
              <w:rPr>
                <w:rFonts w:hint="eastAsia" w:ascii="仿宋_GB2312" w:hAnsi="仿宋_GB2312" w:eastAsia="仿宋_GB2312" w:cs="仿宋_GB2312"/>
                <w:b w:val="0"/>
                <w:bCs/>
                <w:i w:val="0"/>
                <w:color w:val="auto"/>
                <w:kern w:val="0"/>
                <w:sz w:val="24"/>
                <w:szCs w:val="24"/>
                <w:highlight w:val="none"/>
                <w:u w:val="none"/>
                <w:lang w:val="en-US" w:eastAsia="zh-CN" w:bidi="ar"/>
              </w:rPr>
              <w:t>失效</w:t>
            </w:r>
          </w:p>
        </w:tc>
      </w:tr>
      <w:bookmarkEnd w:id="0"/>
    </w:tbl>
    <w:p/>
    <w:sectPr>
      <w:pgSz w:w="11850" w:h="16840"/>
      <w:pgMar w:top="2154"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EF9850"/>
    <w:rsid w:val="1EFF69CD"/>
    <w:rsid w:val="46FF631F"/>
    <w:rsid w:val="577D09ED"/>
    <w:rsid w:val="6355C7D0"/>
    <w:rsid w:val="685DB0DC"/>
    <w:rsid w:val="6CF49197"/>
    <w:rsid w:val="6FFF197A"/>
    <w:rsid w:val="72BFDC51"/>
    <w:rsid w:val="76DB0ADA"/>
    <w:rsid w:val="79EFB6CC"/>
    <w:rsid w:val="7D7F4102"/>
    <w:rsid w:val="7DFB2911"/>
    <w:rsid w:val="7FFDDB73"/>
    <w:rsid w:val="97EF9850"/>
    <w:rsid w:val="B37FC794"/>
    <w:rsid w:val="BA5CD49B"/>
    <w:rsid w:val="BDFDE255"/>
    <w:rsid w:val="BF9B791F"/>
    <w:rsid w:val="CAFF1C9D"/>
    <w:rsid w:val="DDCB5EA1"/>
    <w:rsid w:val="DFFF9BD9"/>
    <w:rsid w:val="EF77A220"/>
    <w:rsid w:val="F3F7F739"/>
    <w:rsid w:val="FB1FD3A4"/>
    <w:rsid w:val="FBA748E8"/>
    <w:rsid w:val="FBB772F9"/>
    <w:rsid w:val="FEFBEA17"/>
    <w:rsid w:val="FF1BAC04"/>
    <w:rsid w:val="FFDAA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0"/>
  </w:style>
  <w:style w:type="paragraph" w:customStyle="1" w:styleId="6">
    <w:name w:val="样式1"/>
    <w:basedOn w:val="2"/>
    <w:next w:val="1"/>
    <w:qFormat/>
    <w:uiPriority w:val="0"/>
    <w:pPr>
      <w:jc w:val="center"/>
    </w:pPr>
    <w:rPr>
      <w:rFonts w:ascii="Calibri" w:hAnsi="Calibri" w:eastAsia="方正小标宋简体" w:cs="Times New Roman"/>
    </w:rPr>
  </w:style>
  <w:style w:type="character" w:customStyle="1" w:styleId="7">
    <w:name w:val="标题 1 Char"/>
    <w:link w:val="2"/>
    <w:qFormat/>
    <w:uiPriority w:val="0"/>
    <w:rPr>
      <w:rFonts w:ascii="Calibri" w:hAnsi="Calibri" w:eastAsia="方正小标宋简体" w:cs="Times New Roman"/>
      <w:kern w:val="44"/>
      <w:sz w:val="44"/>
    </w:rPr>
  </w:style>
  <w:style w:type="paragraph" w:customStyle="1" w:styleId="8">
    <w:name w:val="样式2"/>
    <w:basedOn w:val="3"/>
    <w:qFormat/>
    <w:uiPriority w:val="0"/>
    <w:pPr>
      <w:spacing w:before="100" w:beforeAutospacing="1" w:line="560" w:lineRule="exact"/>
      <w:jc w:val="center"/>
      <w:outlineLvl w:val="0"/>
    </w:pPr>
    <w:rPr>
      <w:rFonts w:ascii="Calibri" w:hAnsi="Calibri" w:eastAsia="方正小标宋简体" w:cs="Times New Roman"/>
      <w:sz w:val="44"/>
    </w:rPr>
  </w:style>
  <w:style w:type="character" w:customStyle="1" w:styleId="9">
    <w:name w:val="font71"/>
    <w:basedOn w:val="5"/>
    <w:qFormat/>
    <w:uiPriority w:val="0"/>
    <w:rPr>
      <w:rFonts w:hint="eastAsia" w:ascii="宋体" w:hAnsi="宋体" w:eastAsia="宋体" w:cs="宋体"/>
      <w:color w:val="000000"/>
      <w:sz w:val="22"/>
      <w:szCs w:val="22"/>
      <w:u w:val="none"/>
    </w:rPr>
  </w:style>
  <w:style w:type="character" w:customStyle="1" w:styleId="10">
    <w:name w:val="font12"/>
    <w:basedOn w:val="5"/>
    <w:qFormat/>
    <w:uiPriority w:val="0"/>
    <w:rPr>
      <w:rFonts w:hint="eastAsia" w:ascii="宋体" w:hAnsi="宋体" w:eastAsia="宋体" w:cs="宋体"/>
      <w:color w:val="FF0000"/>
      <w:sz w:val="22"/>
      <w:szCs w:val="22"/>
      <w:u w:val="none"/>
    </w:rPr>
  </w:style>
  <w:style w:type="character" w:customStyle="1" w:styleId="11">
    <w:name w:val="font13"/>
    <w:basedOn w:val="5"/>
    <w:qFormat/>
    <w:uiPriority w:val="0"/>
    <w:rPr>
      <w:rFonts w:hint="eastAsia" w:ascii="宋体" w:hAnsi="宋体" w:eastAsia="宋体" w:cs="宋体"/>
      <w:color w:val="000000"/>
      <w:sz w:val="22"/>
      <w:szCs w:val="22"/>
      <w:u w:val="none"/>
    </w:rPr>
  </w:style>
  <w:style w:type="character" w:customStyle="1" w:styleId="12">
    <w:name w:val="font81"/>
    <w:basedOn w:val="5"/>
    <w:qFormat/>
    <w:uiPriority w:val="0"/>
    <w:rPr>
      <w:rFonts w:hint="eastAsia" w:ascii="宋体" w:hAnsi="宋体" w:eastAsia="宋体" w:cs="宋体"/>
      <w:color w:val="FF0000"/>
      <w:sz w:val="22"/>
      <w:szCs w:val="22"/>
      <w:u w:val="none"/>
    </w:rPr>
  </w:style>
  <w:style w:type="character" w:customStyle="1" w:styleId="13">
    <w:name w:val="font11"/>
    <w:basedOn w:val="5"/>
    <w:qFormat/>
    <w:uiPriority w:val="0"/>
    <w:rPr>
      <w:rFonts w:hint="eastAsia" w:ascii="宋体" w:hAnsi="宋体" w:eastAsia="宋体" w:cs="宋体"/>
      <w:color w:val="000000"/>
      <w:sz w:val="22"/>
      <w:szCs w:val="22"/>
      <w:u w:val="none"/>
    </w:rPr>
  </w:style>
  <w:style w:type="character" w:customStyle="1" w:styleId="14">
    <w:name w:val="font01"/>
    <w:basedOn w:val="5"/>
    <w:qFormat/>
    <w:uiPriority w:val="0"/>
    <w:rPr>
      <w:rFonts w:hint="eastAsia" w:ascii="宋体" w:hAnsi="宋体" w:eastAsia="宋体" w:cs="宋体"/>
      <w:color w:val="FF0000"/>
      <w:sz w:val="22"/>
      <w:szCs w:val="22"/>
      <w:u w:val="none"/>
    </w:rPr>
  </w:style>
  <w:style w:type="character" w:customStyle="1" w:styleId="15">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2024-06-08T17:35:00Z</dcterms:created>
  <dc:creator>user</dc:creator>
  <cp:lastModifiedBy>user</cp:lastModifiedBy>
  <cp:lastPrinted>2024-06-15T02:41:00Z</cp:lastPrinted>
  <dcterms:modified xsi:type="dcterms:W3CDTF">2024-06-24T15:41:14Z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