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黑体"/>
          <w:sz w:val="32"/>
          <w:szCs w:val="32"/>
          <w:shd w:val="clear" w:fill="auto"/>
        </w:rPr>
      </w:pPr>
      <w:r>
        <w:rPr>
          <w:rFonts w:hint="eastAsia" w:ascii="黑体" w:hAnsi="黑体" w:eastAsia="黑体" w:cs="黑体"/>
          <w:sz w:val="32"/>
          <w:szCs w:val="32"/>
          <w:shd w:val="clear" w:fill="auto"/>
        </w:rPr>
        <w:t>附件</w:t>
      </w:r>
    </w:p>
    <w:p>
      <w:pPr>
        <w:spacing w:line="600" w:lineRule="exact"/>
        <w:rPr>
          <w:rFonts w:ascii="方正小标宋简体" w:hAnsi="方正小标宋简体" w:eastAsia="方正小标宋简体" w:cs="方正小标宋简体"/>
          <w:sz w:val="44"/>
          <w:szCs w:val="44"/>
          <w:shd w:val="clear" w:fill="auto"/>
        </w:rPr>
      </w:pPr>
    </w:p>
    <w:p>
      <w:pPr>
        <w:spacing w:after="0" w:line="600" w:lineRule="exact"/>
        <w:jc w:val="center"/>
        <w:rPr>
          <w:rFonts w:ascii="方正小标宋简体" w:hAnsi="方正小标宋简体" w:eastAsia="方正小标宋简体" w:cs="方正小标宋简体"/>
          <w:sz w:val="44"/>
          <w:szCs w:val="44"/>
          <w:shd w:val="clear" w:fill="auto"/>
        </w:rPr>
      </w:pPr>
      <w:r>
        <w:rPr>
          <w:rFonts w:hint="eastAsia" w:ascii="方正小标宋简体" w:hAnsi="方正小标宋简体" w:eastAsia="方正小标宋简体" w:cs="方正小标宋简体"/>
          <w:sz w:val="44"/>
          <w:szCs w:val="44"/>
          <w:shd w:val="clear" w:fill="auto"/>
        </w:rPr>
        <w:t>深圳市202</w:t>
      </w:r>
      <w:r>
        <w:rPr>
          <w:rFonts w:ascii="方正小标宋简体" w:hAnsi="方正小标宋简体" w:eastAsia="方正小标宋简体" w:cs="方正小标宋简体"/>
          <w:sz w:val="44"/>
          <w:szCs w:val="44"/>
          <w:shd w:val="clear" w:fill="auto"/>
        </w:rPr>
        <w:t>4</w:t>
      </w:r>
      <w:r>
        <w:rPr>
          <w:rFonts w:hint="eastAsia" w:ascii="方正小标宋简体" w:hAnsi="方正小标宋简体" w:eastAsia="方正小标宋简体" w:cs="方正小标宋简体"/>
          <w:sz w:val="44"/>
          <w:szCs w:val="44"/>
          <w:shd w:val="clear" w:fill="auto"/>
        </w:rPr>
        <w:t>年度碳排放配额分配方案</w:t>
      </w:r>
    </w:p>
    <w:p>
      <w:pPr>
        <w:spacing w:after="0" w:line="600" w:lineRule="exact"/>
        <w:jc w:val="center"/>
        <w:rPr>
          <w:rFonts w:ascii="楷体_GB2312" w:hAnsi="楷体_GB2312" w:eastAsia="楷体_GB2312" w:cs="楷体_GB2312"/>
          <w:sz w:val="32"/>
          <w:szCs w:val="32"/>
          <w:shd w:val="clear" w:fill="auto"/>
        </w:rPr>
      </w:pPr>
    </w:p>
    <w:p>
      <w:pPr>
        <w:pStyle w:val="13"/>
        <w:spacing w:after="0" w:line="560" w:lineRule="exact"/>
        <w:ind w:firstLine="640"/>
        <w:rPr>
          <w:rFonts w:ascii="仿宋_GB2312" w:hAnsi="仿宋_GB2312" w:eastAsia="仿宋_GB2312" w:cs="仿宋_GB2312"/>
          <w:szCs w:val="28"/>
          <w:shd w:val="clear" w:fill="auto"/>
        </w:rPr>
      </w:pPr>
      <w:r>
        <w:rPr>
          <w:rFonts w:hint="eastAsia" w:ascii="仿宋_GB2312" w:hAnsi="仿宋_GB2312" w:eastAsia="仿宋_GB2312" w:cs="仿宋_GB2312"/>
          <w:szCs w:val="28"/>
          <w:shd w:val="clear" w:fill="auto"/>
        </w:rPr>
        <w:t>根据《深圳经济特区碳排放管理若干规定》《深圳市碳排放权交易管理办法》《深圳市碳达峰实施方案》有关规定，为科学合理确定2024年度本市纳入碳排放配额管理单位（下称“重点排放单位”）碳排放配额，规范有序开展碳排放配额分配和管理工作，推动本市碳交易市场健康平稳发展，特制定本方案。</w:t>
      </w:r>
    </w:p>
    <w:p>
      <w:pPr>
        <w:pStyle w:val="2"/>
        <w:spacing w:before="0" w:after="0" w:line="560" w:lineRule="exact"/>
        <w:ind w:firstLine="640" w:firstLineChars="200"/>
        <w:rPr>
          <w:rFonts w:ascii="黑体" w:hAnsi="黑体" w:eastAsia="黑体" w:cs="黑体"/>
          <w:b w:val="0"/>
          <w:bCs w:val="0"/>
          <w:kern w:val="2"/>
          <w:sz w:val="32"/>
          <w:szCs w:val="28"/>
          <w:shd w:val="clear" w:fill="auto"/>
        </w:rPr>
      </w:pPr>
      <w:r>
        <w:rPr>
          <w:rFonts w:hint="eastAsia" w:ascii="黑体" w:hAnsi="黑体" w:eastAsia="黑体" w:cs="黑体"/>
          <w:b w:val="0"/>
          <w:bCs w:val="0"/>
          <w:kern w:val="2"/>
          <w:sz w:val="32"/>
          <w:szCs w:val="28"/>
          <w:shd w:val="clear" w:fill="auto"/>
        </w:rPr>
        <w:t>一、配额总量</w:t>
      </w:r>
    </w:p>
    <w:p>
      <w:pPr>
        <w:pStyle w:val="13"/>
        <w:spacing w:after="0" w:line="560" w:lineRule="exact"/>
        <w:ind w:firstLine="640"/>
        <w:rPr>
          <w:rFonts w:ascii="仿宋_GB2312" w:hAnsi="仿宋_GB2312" w:eastAsia="仿宋_GB2312" w:cs="仿宋_GB2312"/>
          <w:szCs w:val="28"/>
          <w:shd w:val="clear" w:fill="auto"/>
        </w:rPr>
      </w:pPr>
      <w:r>
        <w:rPr>
          <w:rFonts w:hint="eastAsia" w:ascii="仿宋_GB2312" w:hAnsi="仿宋_GB2312" w:eastAsia="仿宋_GB2312" w:cs="仿宋_GB2312"/>
          <w:szCs w:val="28"/>
          <w:shd w:val="clear" w:fill="auto"/>
        </w:rPr>
        <w:t>根据“十四五”时期深圳市应对气候变化目标、单位生产总值二氧化碳排放下降目标、</w:t>
      </w:r>
      <w:bookmarkStart w:id="0" w:name="_Hlk167627342"/>
      <w:r>
        <w:rPr>
          <w:rFonts w:hint="eastAsia" w:ascii="仿宋_GB2312" w:hAnsi="仿宋_GB2312" w:eastAsia="仿宋_GB2312" w:cs="仿宋_GB2312"/>
          <w:szCs w:val="28"/>
          <w:shd w:val="clear" w:fill="auto"/>
        </w:rPr>
        <w:t>经济外贸发展趋势</w:t>
      </w:r>
      <w:bookmarkEnd w:id="0"/>
      <w:r>
        <w:rPr>
          <w:rFonts w:hint="eastAsia" w:ascii="仿宋_GB2312" w:hAnsi="仿宋_GB2312" w:eastAsia="仿宋_GB2312" w:cs="仿宋_GB2312"/>
          <w:szCs w:val="28"/>
          <w:shd w:val="clear" w:fill="auto"/>
        </w:rPr>
        <w:t>、产业发展政策、行业减排潜力、历史配额供需情况等因素，</w:t>
      </w:r>
      <w:r>
        <w:rPr>
          <w:rFonts w:hint="eastAsia" w:ascii="仿宋_GB2312" w:hAnsi="仿宋_GB2312" w:eastAsia="仿宋_GB2312" w:cs="仿宋_GB2312"/>
          <w:szCs w:val="32"/>
          <w:shd w:val="clear" w:fill="auto"/>
        </w:rPr>
        <w:t>坚持“稳中求进、奖优惩劣、推动转向碳排放双控、服务碳达峰碳中和、促进高质量发展”的原则</w:t>
      </w:r>
      <w:r>
        <w:rPr>
          <w:rFonts w:hint="eastAsia" w:ascii="仿宋_GB2312" w:hAnsi="仿宋_GB2312" w:eastAsia="仿宋_GB2312" w:cs="仿宋_GB2312"/>
          <w:szCs w:val="28"/>
          <w:shd w:val="clear" w:fill="auto"/>
        </w:rPr>
        <w:t>，确定2024年度本市碳排放权交易体系配额总量约为3350</w:t>
      </w:r>
      <w:r>
        <w:rPr>
          <w:rFonts w:ascii="仿宋_GB2312" w:hAnsi="仿宋_GB2312" w:eastAsia="仿宋_GB2312" w:cs="仿宋_GB2312"/>
          <w:szCs w:val="28"/>
          <w:shd w:val="clear" w:fill="auto"/>
        </w:rPr>
        <w:t>万吨</w:t>
      </w:r>
      <w:r>
        <w:rPr>
          <w:rFonts w:hint="eastAsia" w:ascii="仿宋_GB2312" w:hAnsi="仿宋_GB2312" w:eastAsia="仿宋_GB2312" w:cs="仿宋_GB2312"/>
          <w:szCs w:val="28"/>
          <w:shd w:val="clear" w:fill="auto"/>
        </w:rPr>
        <w:t>。</w:t>
      </w:r>
    </w:p>
    <w:p>
      <w:pPr>
        <w:pStyle w:val="13"/>
        <w:spacing w:after="0" w:line="560" w:lineRule="exact"/>
        <w:ind w:firstLine="640"/>
        <w:rPr>
          <w:rFonts w:ascii="仿宋_GB2312" w:hAnsi="仿宋_GB2312" w:eastAsia="仿宋_GB2312" w:cs="仿宋_GB2312"/>
          <w:szCs w:val="32"/>
          <w:shd w:val="clear" w:fill="auto"/>
        </w:rPr>
      </w:pPr>
      <w:r>
        <w:rPr>
          <w:rFonts w:hint="eastAsia" w:ascii="仿宋_GB2312" w:hAnsi="仿宋_GB2312" w:eastAsia="仿宋_GB2312" w:cs="仿宋_GB2312"/>
          <w:szCs w:val="32"/>
          <w:shd w:val="clear" w:fill="auto"/>
        </w:rPr>
        <w:t>年度配额总量由重点排放单位配额和政府储备配额构成，其中重点排放单位配额占比96%、新建项目储备配额占比2%、价格平抑储备配额占比2%。</w:t>
      </w:r>
    </w:p>
    <w:p>
      <w:pPr>
        <w:pStyle w:val="2"/>
        <w:spacing w:before="0" w:after="0" w:line="560" w:lineRule="exact"/>
        <w:ind w:firstLine="640" w:firstLineChars="200"/>
        <w:rPr>
          <w:rFonts w:ascii="黑体" w:hAnsi="黑体" w:eastAsia="黑体" w:cs="黑体"/>
          <w:b w:val="0"/>
          <w:bCs w:val="0"/>
          <w:kern w:val="2"/>
          <w:sz w:val="32"/>
          <w:szCs w:val="28"/>
          <w:shd w:val="clear" w:fill="auto"/>
        </w:rPr>
      </w:pPr>
      <w:r>
        <w:rPr>
          <w:rFonts w:hint="eastAsia" w:ascii="黑体" w:hAnsi="黑体" w:eastAsia="黑体" w:cs="黑体"/>
          <w:b w:val="0"/>
          <w:bCs w:val="0"/>
          <w:kern w:val="2"/>
          <w:sz w:val="32"/>
          <w:szCs w:val="28"/>
          <w:shd w:val="clear" w:fill="auto"/>
        </w:rPr>
        <w:t>二、配额分配</w:t>
      </w:r>
    </w:p>
    <w:p>
      <w:pPr>
        <w:autoSpaceDE w:val="0"/>
        <w:autoSpaceDN w:val="0"/>
        <w:adjustRightInd w:val="0"/>
        <w:spacing w:after="0" w:line="560" w:lineRule="exact"/>
        <w:ind w:firstLine="640" w:firstLineChars="200"/>
        <w:rPr>
          <w:rFonts w:ascii="仿宋_GB2312" w:hAnsi="仿宋_GB2312" w:eastAsia="仿宋_GB2312" w:cs="仿宋_GB2312"/>
          <w:kern w:val="0"/>
          <w:sz w:val="32"/>
          <w:szCs w:val="32"/>
          <w:shd w:val="clear" w:fill="auto"/>
        </w:rPr>
      </w:pPr>
      <w:r>
        <w:rPr>
          <w:rFonts w:hint="eastAsia" w:ascii="仿宋_GB2312" w:hAnsi="仿宋_GB2312" w:eastAsia="仿宋_GB2312" w:cs="仿宋_GB2312"/>
          <w:kern w:val="0"/>
          <w:sz w:val="32"/>
          <w:szCs w:val="32"/>
          <w:shd w:val="clear" w:fill="auto"/>
        </w:rPr>
        <w:t>2024年度重点排放单位配额分配采用行业基准强度法、历史产量强度法、历史排放法、历史增加值强度法。</w:t>
      </w:r>
    </w:p>
    <w:p>
      <w:pPr>
        <w:pStyle w:val="3"/>
        <w:spacing w:before="0" w:after="0" w:line="560" w:lineRule="exact"/>
        <w:ind w:firstLine="642" w:firstLineChars="200"/>
        <w:rPr>
          <w:rFonts w:ascii="楷体_GB2312" w:hAnsi="楷体_GB2312" w:eastAsia="楷体_GB2312" w:cs="楷体_GB2312"/>
          <w:szCs w:val="28"/>
          <w:shd w:val="clear" w:fill="auto"/>
        </w:rPr>
      </w:pPr>
      <w:r>
        <w:rPr>
          <w:rFonts w:hint="eastAsia" w:ascii="楷体_GB2312" w:hAnsi="楷体_GB2312" w:eastAsia="楷体_GB2312" w:cs="楷体_GB2312"/>
          <w:szCs w:val="28"/>
          <w:shd w:val="clear" w:fill="auto"/>
        </w:rPr>
        <w:t>（一）行业基准强度法</w:t>
      </w:r>
    </w:p>
    <w:p>
      <w:pPr>
        <w:spacing w:after="0" w:line="560" w:lineRule="exact"/>
        <w:ind w:firstLine="640" w:firstLineChars="200"/>
        <w:rPr>
          <w:rFonts w:ascii="仿宋_GB2312" w:hAnsi="仿宋_GB2312" w:eastAsia="仿宋_GB2312" w:cs="仿宋_GB2312"/>
          <w:kern w:val="0"/>
          <w:sz w:val="32"/>
          <w:szCs w:val="32"/>
          <w:shd w:val="clear" w:fill="auto"/>
        </w:rPr>
      </w:pPr>
      <w:bookmarkStart w:id="1" w:name="_Hlk156901242"/>
      <w:r>
        <w:rPr>
          <w:rFonts w:hint="eastAsia" w:ascii="仿宋_GB2312" w:hAnsi="仿宋_GB2312" w:eastAsia="仿宋_GB2312" w:cs="仿宋_GB2312"/>
          <w:kern w:val="0"/>
          <w:sz w:val="32"/>
          <w:szCs w:val="32"/>
          <w:shd w:val="clear" w:fill="auto"/>
        </w:rPr>
        <w:t>对于供电、供水、供气、数据中心行业重点排放单位，配额分配采用行业基准强度法。</w:t>
      </w:r>
    </w:p>
    <w:bookmarkEnd w:id="1"/>
    <w:p>
      <w:pPr>
        <w:pStyle w:val="4"/>
        <w:spacing w:before="0" w:after="0" w:line="560" w:lineRule="exact"/>
        <w:ind w:firstLine="642" w:firstLineChars="200"/>
        <w:rPr>
          <w:rFonts w:ascii="仿宋_GB2312" w:hAnsi="仿宋_GB2312" w:eastAsia="仿宋_GB2312" w:cs="仿宋_GB2312"/>
          <w:kern w:val="0"/>
          <w:shd w:val="clear" w:fill="auto"/>
        </w:rPr>
      </w:pPr>
      <w:r>
        <w:rPr>
          <w:rFonts w:hint="eastAsia" w:ascii="仿宋_GB2312" w:hAnsi="仿宋_GB2312" w:eastAsia="仿宋_GB2312" w:cs="仿宋_GB2312"/>
          <w:bCs w:val="0"/>
          <w:kern w:val="0"/>
          <w:shd w:val="clear" w:fill="auto"/>
        </w:rPr>
        <w:t>1. 供电行业</w:t>
      </w:r>
    </w:p>
    <w:p>
      <w:pPr>
        <w:spacing w:after="0" w:line="560" w:lineRule="exact"/>
        <w:ind w:firstLine="640" w:firstLineChars="200"/>
        <w:rPr>
          <w:rFonts w:ascii="仿宋_GB2312" w:hAnsi="仿宋_GB2312" w:eastAsia="仿宋_GB2312" w:cs="仿宋_GB2312"/>
          <w:kern w:val="0"/>
          <w:sz w:val="32"/>
          <w:szCs w:val="32"/>
          <w:shd w:val="clear" w:fill="auto"/>
        </w:rPr>
      </w:pPr>
      <w:r>
        <w:rPr>
          <w:rFonts w:hint="eastAsia" w:ascii="仿宋_GB2312" w:hAnsi="仿宋_GB2312" w:eastAsia="仿宋_GB2312" w:cs="仿宋_GB2312"/>
          <w:kern w:val="0"/>
          <w:sz w:val="32"/>
          <w:szCs w:val="32"/>
          <w:shd w:val="clear" w:fill="auto"/>
        </w:rPr>
        <w:t>根据供电行业年度基准碳强度和</w:t>
      </w:r>
      <w:bookmarkStart w:id="2" w:name="_Hlk167618162"/>
      <w:r>
        <w:rPr>
          <w:rFonts w:hint="eastAsia" w:ascii="仿宋_GB2312" w:hAnsi="仿宋_GB2312" w:eastAsia="仿宋_GB2312" w:cs="仿宋_GB2312"/>
          <w:kern w:val="0"/>
          <w:sz w:val="32"/>
          <w:szCs w:val="32"/>
          <w:shd w:val="clear" w:fill="auto"/>
        </w:rPr>
        <w:t>重点排放单位</w:t>
      </w:r>
      <w:bookmarkEnd w:id="2"/>
      <w:r>
        <w:rPr>
          <w:rFonts w:hint="eastAsia" w:ascii="仿宋_GB2312" w:hAnsi="仿宋_GB2312" w:eastAsia="仿宋_GB2312" w:cs="仿宋_GB2312"/>
          <w:kern w:val="0"/>
          <w:sz w:val="32"/>
          <w:szCs w:val="32"/>
          <w:shd w:val="clear" w:fill="auto"/>
        </w:rPr>
        <w:t>年度供电量确定年度配额，计算公式为：</w:t>
      </w:r>
    </w:p>
    <w:p>
      <w:pPr>
        <w:autoSpaceDE w:val="0"/>
        <w:autoSpaceDN w:val="0"/>
        <w:adjustRightInd w:val="0"/>
        <w:spacing w:after="0" w:line="560" w:lineRule="exact"/>
        <w:ind w:firstLine="642" w:firstLineChars="200"/>
        <w:rPr>
          <w:rFonts w:ascii="仿宋_GB2312" w:hAnsi="仿宋_GB2312" w:eastAsia="仿宋_GB2312" w:cs="仿宋_GB2312"/>
          <w:b/>
          <w:bCs/>
          <w:kern w:val="0"/>
          <w:sz w:val="32"/>
          <w:szCs w:val="32"/>
          <w:shd w:val="clear" w:fill="auto"/>
        </w:rPr>
      </w:pPr>
      <w:r>
        <w:rPr>
          <w:rFonts w:hint="eastAsia" w:ascii="仿宋_GB2312" w:hAnsi="仿宋_GB2312" w:eastAsia="仿宋_GB2312" w:cs="仿宋_GB2312"/>
          <w:b/>
          <w:bCs/>
          <w:kern w:val="0"/>
          <w:sz w:val="32"/>
          <w:szCs w:val="32"/>
          <w:shd w:val="clear" w:fill="auto"/>
        </w:rPr>
        <w:t>年度配额 = 供电行业基准碳强度×年度供电量×重点排放单位供电调控因子</w:t>
      </w:r>
    </w:p>
    <w:p>
      <w:pPr>
        <w:autoSpaceDE w:val="0"/>
        <w:autoSpaceDN w:val="0"/>
        <w:adjustRightInd w:val="0"/>
        <w:spacing w:after="0" w:line="560" w:lineRule="exact"/>
        <w:ind w:firstLine="640" w:firstLineChars="200"/>
        <w:rPr>
          <w:rFonts w:ascii="仿宋_GB2312" w:hAnsi="仿宋_GB2312" w:eastAsia="仿宋_GB2312" w:cs="仿宋_GB2312"/>
          <w:kern w:val="0"/>
          <w:sz w:val="32"/>
          <w:szCs w:val="32"/>
          <w:shd w:val="clear" w:fill="auto"/>
        </w:rPr>
      </w:pPr>
      <w:r>
        <w:rPr>
          <w:rFonts w:hint="eastAsia" w:ascii="仿宋_GB2312" w:hAnsi="仿宋_GB2312" w:eastAsia="仿宋_GB2312" w:cs="仿宋_GB2312"/>
          <w:kern w:val="0"/>
          <w:sz w:val="32"/>
          <w:szCs w:val="32"/>
          <w:shd w:val="clear" w:fill="auto"/>
        </w:rPr>
        <w:t>其中，重点排放单位供电调控因子取值根据供电规模、供区面积等因素确定，无量纲。</w:t>
      </w:r>
    </w:p>
    <w:p>
      <w:pPr>
        <w:pStyle w:val="4"/>
        <w:spacing w:before="0" w:after="0" w:line="560" w:lineRule="exact"/>
        <w:ind w:firstLine="642" w:firstLineChars="200"/>
        <w:rPr>
          <w:rFonts w:ascii="仿宋_GB2312" w:hAnsi="仿宋_GB2312" w:eastAsia="仿宋_GB2312" w:cs="仿宋_GB2312"/>
          <w:bCs w:val="0"/>
          <w:kern w:val="0"/>
          <w:shd w:val="clear" w:fill="auto"/>
        </w:rPr>
      </w:pPr>
      <w:r>
        <w:rPr>
          <w:rFonts w:hint="eastAsia" w:ascii="仿宋_GB2312" w:hAnsi="仿宋_GB2312" w:eastAsia="仿宋_GB2312" w:cs="仿宋_GB2312"/>
          <w:bCs w:val="0"/>
          <w:kern w:val="0"/>
          <w:shd w:val="clear" w:fill="auto"/>
        </w:rPr>
        <w:t>2. 供水行业</w:t>
      </w:r>
    </w:p>
    <w:p>
      <w:pPr>
        <w:spacing w:after="0" w:line="560" w:lineRule="exact"/>
        <w:ind w:firstLine="640" w:firstLineChars="200"/>
        <w:rPr>
          <w:rFonts w:ascii="仿宋_GB2312" w:hAnsi="仿宋_GB2312" w:eastAsia="仿宋_GB2312" w:cs="仿宋_GB2312"/>
          <w:kern w:val="0"/>
          <w:sz w:val="32"/>
          <w:szCs w:val="32"/>
          <w:shd w:val="clear" w:fill="auto"/>
        </w:rPr>
      </w:pPr>
      <w:r>
        <w:rPr>
          <w:rFonts w:hint="eastAsia" w:ascii="仿宋_GB2312" w:hAnsi="仿宋_GB2312" w:eastAsia="仿宋_GB2312" w:cs="仿宋_GB2312"/>
          <w:kern w:val="0"/>
          <w:sz w:val="32"/>
          <w:szCs w:val="32"/>
          <w:shd w:val="clear" w:fill="auto"/>
        </w:rPr>
        <w:t>根据供水行业年度基准碳强度和重点排放单位年度供水量确定年度配额，计算公式为：</w:t>
      </w:r>
    </w:p>
    <w:p>
      <w:pPr>
        <w:autoSpaceDE w:val="0"/>
        <w:autoSpaceDN w:val="0"/>
        <w:adjustRightInd w:val="0"/>
        <w:spacing w:after="0" w:line="560" w:lineRule="exact"/>
        <w:ind w:firstLine="642" w:firstLineChars="200"/>
        <w:rPr>
          <w:rFonts w:ascii="仿宋_GB2312" w:hAnsi="仿宋_GB2312" w:eastAsia="仿宋_GB2312" w:cs="仿宋_GB2312"/>
          <w:b/>
          <w:bCs/>
          <w:kern w:val="0"/>
          <w:sz w:val="32"/>
          <w:szCs w:val="32"/>
          <w:shd w:val="clear" w:fill="auto"/>
        </w:rPr>
      </w:pPr>
      <w:r>
        <w:rPr>
          <w:rFonts w:hint="eastAsia" w:ascii="仿宋_GB2312" w:hAnsi="仿宋_GB2312" w:eastAsia="仿宋_GB2312" w:cs="仿宋_GB2312"/>
          <w:b/>
          <w:bCs/>
          <w:kern w:val="0"/>
          <w:sz w:val="32"/>
          <w:szCs w:val="32"/>
          <w:shd w:val="clear" w:fill="auto"/>
        </w:rPr>
        <w:t>年度配额 = 供水行业基准碳强度×年度供水量×重点排放单位供水调控因子</w:t>
      </w:r>
    </w:p>
    <w:p>
      <w:pPr>
        <w:autoSpaceDE w:val="0"/>
        <w:autoSpaceDN w:val="0"/>
        <w:adjustRightInd w:val="0"/>
        <w:spacing w:after="0" w:line="560" w:lineRule="exact"/>
        <w:ind w:firstLine="640" w:firstLineChars="200"/>
        <w:rPr>
          <w:rFonts w:ascii="仿宋_GB2312" w:hAnsi="仿宋_GB2312" w:eastAsia="仿宋_GB2312" w:cs="仿宋_GB2312"/>
          <w:b/>
          <w:bCs/>
          <w:kern w:val="0"/>
          <w:sz w:val="32"/>
          <w:szCs w:val="32"/>
          <w:shd w:val="clear" w:fill="auto"/>
        </w:rPr>
      </w:pPr>
      <w:r>
        <w:rPr>
          <w:rFonts w:hint="eastAsia" w:ascii="仿宋_GB2312" w:hAnsi="仿宋_GB2312" w:eastAsia="仿宋_GB2312" w:cs="仿宋_GB2312"/>
          <w:kern w:val="0"/>
          <w:sz w:val="32"/>
          <w:szCs w:val="32"/>
          <w:shd w:val="clear" w:fill="auto"/>
        </w:rPr>
        <w:t>其中，重点排放单位供水调控因子取值根据原水调度距离、深度处理规模等因素确定，无量纲。</w:t>
      </w:r>
    </w:p>
    <w:p>
      <w:pPr>
        <w:pStyle w:val="4"/>
        <w:spacing w:before="0" w:after="0" w:line="560" w:lineRule="exact"/>
        <w:ind w:firstLine="642" w:firstLineChars="200"/>
        <w:rPr>
          <w:rFonts w:ascii="仿宋_GB2312" w:hAnsi="仿宋_GB2312" w:eastAsia="仿宋_GB2312" w:cs="仿宋_GB2312"/>
          <w:bCs w:val="0"/>
          <w:kern w:val="0"/>
          <w:shd w:val="clear" w:fill="auto"/>
        </w:rPr>
      </w:pPr>
      <w:r>
        <w:rPr>
          <w:rFonts w:hint="eastAsia" w:ascii="仿宋_GB2312" w:hAnsi="仿宋_GB2312" w:eastAsia="仿宋_GB2312" w:cs="仿宋_GB2312"/>
          <w:bCs w:val="0"/>
          <w:kern w:val="0"/>
          <w:shd w:val="clear" w:fill="auto"/>
        </w:rPr>
        <w:t>3. 供气行业</w:t>
      </w:r>
    </w:p>
    <w:p>
      <w:pPr>
        <w:spacing w:after="0" w:line="560" w:lineRule="exact"/>
        <w:ind w:firstLine="640" w:firstLineChars="200"/>
        <w:rPr>
          <w:rFonts w:ascii="仿宋_GB2312" w:hAnsi="仿宋_GB2312" w:eastAsia="仿宋_GB2312" w:cs="仿宋_GB2312"/>
          <w:kern w:val="0"/>
          <w:sz w:val="32"/>
          <w:szCs w:val="32"/>
          <w:shd w:val="clear" w:fill="auto"/>
        </w:rPr>
      </w:pPr>
      <w:r>
        <w:rPr>
          <w:rFonts w:hint="eastAsia" w:ascii="仿宋_GB2312" w:hAnsi="仿宋_GB2312" w:eastAsia="仿宋_GB2312" w:cs="仿宋_GB2312"/>
          <w:kern w:val="0"/>
          <w:sz w:val="32"/>
          <w:szCs w:val="32"/>
          <w:shd w:val="clear" w:fill="auto"/>
        </w:rPr>
        <w:t>根据供气行业年度基准碳强度和重点排放单位年度天然气（或石油气）处理量确定年度配额，计算公式为：</w:t>
      </w:r>
    </w:p>
    <w:p>
      <w:pPr>
        <w:autoSpaceDE w:val="0"/>
        <w:autoSpaceDN w:val="0"/>
        <w:adjustRightInd w:val="0"/>
        <w:spacing w:after="0" w:line="560" w:lineRule="exact"/>
        <w:ind w:firstLine="642" w:firstLineChars="200"/>
        <w:rPr>
          <w:rFonts w:ascii="仿宋_GB2312" w:hAnsi="仿宋_GB2312" w:eastAsia="仿宋_GB2312" w:cs="仿宋_GB2312"/>
          <w:b/>
          <w:bCs/>
          <w:kern w:val="0"/>
          <w:sz w:val="32"/>
          <w:szCs w:val="32"/>
          <w:shd w:val="clear" w:fill="auto"/>
        </w:rPr>
      </w:pPr>
      <w:r>
        <w:rPr>
          <w:rFonts w:hint="eastAsia" w:ascii="仿宋_GB2312" w:hAnsi="仿宋_GB2312" w:eastAsia="仿宋_GB2312" w:cs="仿宋_GB2312"/>
          <w:b/>
          <w:bCs/>
          <w:kern w:val="0"/>
          <w:sz w:val="32"/>
          <w:szCs w:val="32"/>
          <w:shd w:val="clear" w:fill="auto"/>
        </w:rPr>
        <w:t>年度配额 = 供气行业基准碳强度×年度天然气处理量（或石油气）×重点排放单位供气调控因子</w:t>
      </w:r>
    </w:p>
    <w:p>
      <w:pPr>
        <w:autoSpaceDE w:val="0"/>
        <w:autoSpaceDN w:val="0"/>
        <w:adjustRightInd w:val="0"/>
        <w:spacing w:after="0" w:line="560" w:lineRule="exact"/>
        <w:ind w:firstLine="640" w:firstLineChars="200"/>
        <w:rPr>
          <w:rFonts w:ascii="仿宋_GB2312" w:hAnsi="仿宋_GB2312" w:eastAsia="仿宋_GB2312" w:cs="仿宋_GB2312"/>
          <w:kern w:val="0"/>
          <w:sz w:val="32"/>
          <w:szCs w:val="32"/>
          <w:shd w:val="clear" w:fill="auto"/>
        </w:rPr>
      </w:pPr>
      <w:r>
        <w:rPr>
          <w:rFonts w:hint="eastAsia" w:ascii="仿宋_GB2312" w:hAnsi="仿宋_GB2312" w:eastAsia="仿宋_GB2312" w:cs="仿宋_GB2312"/>
          <w:kern w:val="0"/>
          <w:sz w:val="32"/>
          <w:szCs w:val="32"/>
          <w:shd w:val="clear" w:fill="auto"/>
        </w:rPr>
        <w:t>其中，重点排放单位供气调控因子取值根据经营业务范围、主要排放设施类型等因素确定，无量纲。</w:t>
      </w:r>
    </w:p>
    <w:p>
      <w:pPr>
        <w:pStyle w:val="4"/>
        <w:spacing w:before="0" w:after="0" w:line="560" w:lineRule="exact"/>
        <w:ind w:firstLine="642" w:firstLineChars="200"/>
        <w:rPr>
          <w:rFonts w:ascii="仿宋_GB2312" w:hAnsi="仿宋_GB2312" w:eastAsia="仿宋_GB2312" w:cs="仿宋_GB2312"/>
          <w:bCs w:val="0"/>
          <w:kern w:val="0"/>
          <w:shd w:val="clear" w:fill="auto"/>
        </w:rPr>
      </w:pPr>
      <w:r>
        <w:rPr>
          <w:rFonts w:hint="eastAsia" w:ascii="仿宋_GB2312" w:hAnsi="仿宋_GB2312" w:eastAsia="仿宋_GB2312" w:cs="仿宋_GB2312"/>
          <w:bCs w:val="0"/>
          <w:kern w:val="0"/>
          <w:shd w:val="clear" w:fill="auto"/>
        </w:rPr>
        <w:t>4. 数据中心行业</w:t>
      </w:r>
    </w:p>
    <w:p>
      <w:pPr>
        <w:spacing w:after="0" w:line="560" w:lineRule="exact"/>
        <w:ind w:firstLine="640" w:firstLineChars="200"/>
        <w:rPr>
          <w:rFonts w:ascii="仿宋_GB2312" w:hAnsi="仿宋_GB2312" w:eastAsia="仿宋_GB2312" w:cs="仿宋_GB2312"/>
          <w:kern w:val="0"/>
          <w:sz w:val="32"/>
          <w:szCs w:val="32"/>
          <w:shd w:val="clear" w:fill="auto"/>
        </w:rPr>
      </w:pPr>
      <w:r>
        <w:rPr>
          <w:rFonts w:hint="eastAsia" w:ascii="仿宋_GB2312" w:hAnsi="仿宋_GB2312" w:eastAsia="仿宋_GB2312" w:cs="仿宋_GB2312"/>
          <w:kern w:val="0"/>
          <w:sz w:val="32"/>
          <w:szCs w:val="32"/>
          <w:shd w:val="clear" w:fill="auto"/>
        </w:rPr>
        <w:t>根据数据中心行业年度基准碳强度和重点排放单位年度IT设备耗电量确定年度配额，计算公式为：</w:t>
      </w:r>
    </w:p>
    <w:p>
      <w:pPr>
        <w:autoSpaceDE w:val="0"/>
        <w:autoSpaceDN w:val="0"/>
        <w:adjustRightInd w:val="0"/>
        <w:spacing w:after="0" w:line="560" w:lineRule="exact"/>
        <w:ind w:firstLine="642" w:firstLineChars="200"/>
        <w:rPr>
          <w:rFonts w:ascii="仿宋_GB2312" w:hAnsi="仿宋_GB2312" w:eastAsia="仿宋_GB2312" w:cs="仿宋_GB2312"/>
          <w:b/>
          <w:bCs/>
          <w:kern w:val="0"/>
          <w:sz w:val="32"/>
          <w:szCs w:val="32"/>
          <w:shd w:val="clear" w:fill="auto"/>
        </w:rPr>
      </w:pPr>
      <w:r>
        <w:rPr>
          <w:rFonts w:hint="eastAsia" w:ascii="仿宋_GB2312" w:hAnsi="仿宋_GB2312" w:eastAsia="仿宋_GB2312" w:cs="仿宋_GB2312"/>
          <w:b/>
          <w:bCs/>
          <w:kern w:val="0"/>
          <w:sz w:val="32"/>
          <w:szCs w:val="32"/>
          <w:shd w:val="clear" w:fill="auto"/>
        </w:rPr>
        <w:t>年度配额</w:t>
      </w:r>
      <w:r>
        <w:rPr>
          <w:rFonts w:ascii="仿宋_GB2312" w:hAnsi="仿宋_GB2312" w:eastAsia="仿宋_GB2312" w:cs="仿宋_GB2312"/>
          <w:b/>
          <w:bCs/>
          <w:kern w:val="0"/>
          <w:sz w:val="32"/>
          <w:szCs w:val="32"/>
          <w:shd w:val="clear" w:fill="auto"/>
        </w:rPr>
        <w:t xml:space="preserve"> = </w:t>
      </w:r>
      <w:r>
        <w:rPr>
          <w:rFonts w:hint="eastAsia" w:ascii="仿宋_GB2312" w:hAnsi="仿宋_GB2312" w:eastAsia="仿宋_GB2312" w:cs="仿宋_GB2312"/>
          <w:b/>
          <w:bCs/>
          <w:kern w:val="0"/>
          <w:sz w:val="32"/>
          <w:szCs w:val="32"/>
          <w:shd w:val="clear" w:fill="auto"/>
        </w:rPr>
        <w:t>数据中心行业基准碳强度×年度</w:t>
      </w:r>
      <w:r>
        <w:rPr>
          <w:rFonts w:ascii="仿宋_GB2312" w:hAnsi="仿宋_GB2312" w:eastAsia="仿宋_GB2312" w:cs="仿宋_GB2312"/>
          <w:b/>
          <w:bCs/>
          <w:kern w:val="0"/>
          <w:sz w:val="32"/>
          <w:szCs w:val="32"/>
          <w:shd w:val="clear" w:fill="auto"/>
        </w:rPr>
        <w:t>IT设备耗电量</w:t>
      </w:r>
    </w:p>
    <w:p>
      <w:pPr>
        <w:autoSpaceDE w:val="0"/>
        <w:autoSpaceDN w:val="0"/>
        <w:adjustRightInd w:val="0"/>
        <w:spacing w:after="0" w:line="560" w:lineRule="exact"/>
        <w:ind w:firstLine="640" w:firstLineChars="200"/>
        <w:rPr>
          <w:rFonts w:ascii="仿宋_GB2312" w:hAnsi="仿宋_GB2312" w:eastAsia="仿宋_GB2312" w:cs="仿宋_GB2312"/>
          <w:kern w:val="0"/>
          <w:sz w:val="32"/>
          <w:szCs w:val="32"/>
          <w:shd w:val="clear" w:fill="auto"/>
        </w:rPr>
      </w:pPr>
      <w:r>
        <w:rPr>
          <w:rFonts w:hint="eastAsia" w:ascii="仿宋_GB2312" w:hAnsi="仿宋_GB2312" w:eastAsia="仿宋_GB2312" w:cs="仿宋_GB2312"/>
          <w:kern w:val="0"/>
          <w:sz w:val="32"/>
          <w:szCs w:val="32"/>
          <w:shd w:val="clear" w:fill="auto"/>
        </w:rPr>
        <w:t>年度IT</w:t>
      </w:r>
      <w:r>
        <w:rPr>
          <w:rFonts w:ascii="仿宋_GB2312" w:hAnsi="仿宋_GB2312" w:eastAsia="仿宋_GB2312" w:cs="仿宋_GB2312"/>
          <w:kern w:val="0"/>
          <w:sz w:val="32"/>
          <w:szCs w:val="32"/>
          <w:shd w:val="clear" w:fill="auto"/>
        </w:rPr>
        <w:t>设备耗电量</w:t>
      </w:r>
      <w:r>
        <w:rPr>
          <w:rFonts w:hint="eastAsia" w:ascii="仿宋_GB2312" w:hAnsi="仿宋_GB2312" w:eastAsia="仿宋_GB2312" w:cs="仿宋_GB2312"/>
          <w:kern w:val="0"/>
          <w:sz w:val="32"/>
          <w:szCs w:val="32"/>
          <w:shd w:val="clear" w:fill="auto"/>
        </w:rPr>
        <w:t>指</w:t>
      </w:r>
      <w:r>
        <w:rPr>
          <w:rFonts w:ascii="仿宋_GB2312" w:hAnsi="仿宋_GB2312" w:eastAsia="仿宋_GB2312" w:cs="仿宋_GB2312"/>
          <w:kern w:val="0"/>
          <w:sz w:val="32"/>
          <w:szCs w:val="32"/>
          <w:shd w:val="clear" w:fill="auto"/>
        </w:rPr>
        <w:t>数据中心计算处理设备、交换处</w:t>
      </w:r>
      <w:r>
        <w:rPr>
          <w:rFonts w:hint="eastAsia" w:ascii="仿宋_GB2312" w:hAnsi="仿宋_GB2312" w:eastAsia="仿宋_GB2312" w:cs="仿宋_GB2312"/>
          <w:kern w:val="0"/>
          <w:sz w:val="32"/>
          <w:szCs w:val="32"/>
          <w:shd w:val="clear" w:fill="auto"/>
        </w:rPr>
        <w:t>理设备、存储处理设备等各类电子信息设备的耗电量总和。</w:t>
      </w:r>
    </w:p>
    <w:p>
      <w:pPr>
        <w:autoSpaceDE w:val="0"/>
        <w:autoSpaceDN w:val="0"/>
        <w:adjustRightInd w:val="0"/>
        <w:spacing w:after="0" w:line="560" w:lineRule="exact"/>
        <w:ind w:firstLine="640" w:firstLineChars="200"/>
        <w:rPr>
          <w:rFonts w:ascii="仿宋_GB2312" w:hAnsi="仿宋_GB2312" w:eastAsia="仿宋_GB2312" w:cs="仿宋_GB2312"/>
          <w:kern w:val="0"/>
          <w:sz w:val="32"/>
          <w:szCs w:val="32"/>
          <w:shd w:val="clear" w:fill="auto"/>
        </w:rPr>
      </w:pPr>
      <w:r>
        <w:rPr>
          <w:rFonts w:hint="eastAsia" w:ascii="仿宋_GB2312" w:hAnsi="仿宋_GB2312" w:eastAsia="仿宋_GB2312" w:cs="仿宋_GB2312"/>
          <w:kern w:val="0"/>
          <w:sz w:val="32"/>
          <w:szCs w:val="32"/>
          <w:shd w:val="clear" w:fill="auto"/>
        </w:rPr>
        <w:t>其中，2024年度供电、供水、供气、数据中心行业基准碳强度和调控因子设定详见附件1。</w:t>
      </w:r>
    </w:p>
    <w:p>
      <w:pPr>
        <w:pStyle w:val="3"/>
        <w:spacing w:before="0" w:after="0" w:line="560" w:lineRule="exact"/>
        <w:ind w:firstLine="642" w:firstLineChars="200"/>
        <w:rPr>
          <w:rFonts w:ascii="楷体_GB2312" w:hAnsi="楷体_GB2312" w:eastAsia="楷体_GB2312" w:cs="楷体_GB2312"/>
          <w:szCs w:val="28"/>
          <w:shd w:val="clear" w:fill="auto"/>
        </w:rPr>
      </w:pPr>
      <w:r>
        <w:rPr>
          <w:rFonts w:hint="eastAsia" w:ascii="楷体_GB2312" w:hAnsi="楷体_GB2312" w:eastAsia="楷体_GB2312" w:cs="楷体_GB2312"/>
          <w:szCs w:val="28"/>
          <w:shd w:val="clear" w:fill="auto"/>
        </w:rPr>
        <w:t>（二）历史产量强度法</w:t>
      </w:r>
    </w:p>
    <w:p>
      <w:pPr>
        <w:autoSpaceDE w:val="0"/>
        <w:autoSpaceDN w:val="0"/>
        <w:adjustRightInd w:val="0"/>
        <w:spacing w:after="0" w:line="560" w:lineRule="exact"/>
        <w:ind w:firstLine="640" w:firstLineChars="200"/>
        <w:rPr>
          <w:rFonts w:ascii="仿宋_GB2312" w:hAnsi="仿宋_GB2312" w:eastAsia="仿宋_GB2312" w:cs="仿宋_GB2312"/>
          <w:kern w:val="0"/>
          <w:sz w:val="32"/>
          <w:szCs w:val="32"/>
          <w:shd w:val="clear" w:fill="auto"/>
        </w:rPr>
      </w:pPr>
      <w:r>
        <w:rPr>
          <w:rFonts w:hint="eastAsia" w:ascii="仿宋_GB2312" w:hAnsi="仿宋_GB2312" w:eastAsia="仿宋_GB2312" w:cs="仿宋_GB2312"/>
          <w:kern w:val="0"/>
          <w:sz w:val="32"/>
          <w:szCs w:val="32"/>
          <w:shd w:val="clear" w:fill="auto"/>
        </w:rPr>
        <w:t>对于公交、地铁、危险废物处理、固体废物处理、污泥处理、污水处理、港口码头、平板显示、信息化学品及其他专用化学品等主要产品可归为单一类型且产品类型稳定、产量计量完善的行业，重点排放单位配额分配采用历史产量强度法。</w:t>
      </w:r>
    </w:p>
    <w:p>
      <w:pPr>
        <w:pStyle w:val="4"/>
        <w:spacing w:before="0" w:after="0" w:line="560" w:lineRule="exact"/>
        <w:ind w:firstLine="642" w:firstLineChars="200"/>
        <w:rPr>
          <w:rFonts w:ascii="仿宋_GB2312" w:hAnsi="仿宋_GB2312" w:eastAsia="仿宋_GB2312" w:cs="仿宋_GB2312"/>
          <w:bCs w:val="0"/>
          <w:kern w:val="0"/>
          <w:shd w:val="clear" w:fill="auto"/>
        </w:rPr>
      </w:pPr>
      <w:r>
        <w:rPr>
          <w:rFonts w:ascii="仿宋_GB2312" w:hAnsi="仿宋_GB2312" w:eastAsia="仿宋_GB2312" w:cs="仿宋_GB2312"/>
          <w:kern w:val="0"/>
          <w:shd w:val="clear" w:fill="auto"/>
        </w:rPr>
        <w:t xml:space="preserve">1. </w:t>
      </w:r>
      <w:r>
        <w:rPr>
          <w:rFonts w:hint="eastAsia" w:ascii="仿宋_GB2312" w:hAnsi="仿宋_GB2312" w:eastAsia="仿宋_GB2312" w:cs="仿宋_GB2312"/>
          <w:kern w:val="0"/>
          <w:shd w:val="clear" w:fill="auto"/>
        </w:rPr>
        <w:t>公交行业</w:t>
      </w:r>
    </w:p>
    <w:p>
      <w:pPr>
        <w:spacing w:after="0" w:line="560" w:lineRule="exact"/>
        <w:ind w:firstLine="640" w:firstLineChars="200"/>
        <w:rPr>
          <w:rFonts w:ascii="仿宋_GB2312" w:hAnsi="仿宋_GB2312" w:eastAsia="仿宋_GB2312" w:cs="仿宋_GB2312"/>
          <w:kern w:val="0"/>
          <w:sz w:val="32"/>
          <w:szCs w:val="32"/>
          <w:shd w:val="clear" w:fill="auto"/>
        </w:rPr>
      </w:pPr>
      <w:r>
        <w:rPr>
          <w:rFonts w:hint="eastAsia" w:ascii="仿宋_GB2312" w:hAnsi="仿宋_GB2312" w:eastAsia="仿宋_GB2312" w:cs="仿宋_GB2312"/>
          <w:kern w:val="0"/>
          <w:sz w:val="32"/>
          <w:szCs w:val="32"/>
          <w:shd w:val="clear" w:fill="auto"/>
        </w:rPr>
        <w:t>根据公交重点排放单位营运系统年度目标碳强度、年度载客里程、非营运系统历史碳排放确定年度配额，计算公式为：</w:t>
      </w:r>
    </w:p>
    <w:p>
      <w:pPr>
        <w:autoSpaceDE w:val="0"/>
        <w:autoSpaceDN w:val="0"/>
        <w:adjustRightInd w:val="0"/>
        <w:spacing w:after="0" w:line="560" w:lineRule="exact"/>
        <w:ind w:firstLine="642" w:firstLineChars="200"/>
        <w:rPr>
          <w:rFonts w:ascii="仿宋_GB2312" w:hAnsi="仿宋_GB2312" w:eastAsia="仿宋_GB2312" w:cs="仿宋_GB2312"/>
          <w:b/>
          <w:bCs/>
          <w:kern w:val="0"/>
          <w:sz w:val="32"/>
          <w:szCs w:val="32"/>
          <w:shd w:val="clear" w:fill="auto"/>
        </w:rPr>
      </w:pPr>
      <w:r>
        <w:rPr>
          <w:rFonts w:hint="eastAsia" w:ascii="仿宋_GB2312" w:hAnsi="仿宋_GB2312" w:eastAsia="仿宋_GB2312" w:cs="仿宋_GB2312"/>
          <w:b/>
          <w:bCs/>
          <w:kern w:val="0"/>
          <w:sz w:val="32"/>
          <w:szCs w:val="32"/>
          <w:shd w:val="clear" w:fill="auto"/>
        </w:rPr>
        <w:t>年度配额=营运系统年度目标碳强度×年度载客里程×1.07+非营运系统历史碳排放×0.995</w:t>
      </w:r>
    </w:p>
    <w:p>
      <w:pPr>
        <w:spacing w:after="0" w:line="560" w:lineRule="exact"/>
        <w:ind w:firstLine="640" w:firstLineChars="200"/>
        <w:rPr>
          <w:rFonts w:ascii="仿宋_GB2312" w:hAnsi="仿宋_GB2312" w:eastAsia="仿宋_GB2312" w:cs="仿宋_GB2312"/>
          <w:kern w:val="0"/>
          <w:shd w:val="clear" w:fill="auto"/>
        </w:rPr>
      </w:pPr>
      <w:r>
        <w:rPr>
          <w:rFonts w:hint="eastAsia" w:ascii="仿宋_GB2312" w:hAnsi="仿宋_GB2312" w:eastAsia="仿宋_GB2312" w:cs="仿宋_GB2312"/>
          <w:kern w:val="0"/>
          <w:sz w:val="32"/>
          <w:szCs w:val="32"/>
          <w:shd w:val="clear" w:fill="auto"/>
        </w:rPr>
        <w:t>非营运系统历史碳排放是指公交重点排放单位202</w:t>
      </w:r>
      <w:r>
        <w:rPr>
          <w:rFonts w:ascii="仿宋_GB2312" w:hAnsi="仿宋_GB2312" w:eastAsia="仿宋_GB2312" w:cs="仿宋_GB2312"/>
          <w:kern w:val="0"/>
          <w:sz w:val="32"/>
          <w:szCs w:val="32"/>
          <w:shd w:val="clear" w:fill="auto"/>
        </w:rPr>
        <w:t>3</w:t>
      </w:r>
      <w:r>
        <w:rPr>
          <w:rFonts w:hint="eastAsia" w:ascii="仿宋_GB2312" w:hAnsi="仿宋_GB2312" w:eastAsia="仿宋_GB2312" w:cs="仿宋_GB2312"/>
          <w:kern w:val="0"/>
          <w:sz w:val="32"/>
          <w:szCs w:val="32"/>
          <w:shd w:val="clear" w:fill="auto"/>
        </w:rPr>
        <w:t>年营运系统以外的附属系统（包括办公楼、机修车间及其他车辆等）碳排放量。</w:t>
      </w:r>
    </w:p>
    <w:p>
      <w:pPr>
        <w:pStyle w:val="4"/>
        <w:spacing w:before="0" w:after="0" w:line="560" w:lineRule="exact"/>
        <w:ind w:firstLine="642" w:firstLineChars="200"/>
        <w:rPr>
          <w:rFonts w:ascii="仿宋_GB2312" w:hAnsi="仿宋_GB2312" w:eastAsia="仿宋_GB2312" w:cs="仿宋_GB2312"/>
          <w:bCs w:val="0"/>
          <w:kern w:val="0"/>
          <w:shd w:val="clear" w:fill="auto"/>
        </w:rPr>
      </w:pPr>
      <w:r>
        <w:rPr>
          <w:rFonts w:hint="eastAsia" w:ascii="仿宋_GB2312" w:hAnsi="仿宋_GB2312" w:eastAsia="仿宋_GB2312" w:cs="仿宋_GB2312"/>
          <w:kern w:val="0"/>
          <w:shd w:val="clear" w:fill="auto"/>
        </w:rPr>
        <w:t>2.</w:t>
      </w:r>
      <w:r>
        <w:rPr>
          <w:rFonts w:ascii="仿宋_GB2312" w:hAnsi="仿宋_GB2312" w:eastAsia="仿宋_GB2312" w:cs="仿宋_GB2312"/>
          <w:kern w:val="0"/>
          <w:shd w:val="clear" w:fill="auto"/>
        </w:rPr>
        <w:t xml:space="preserve"> </w:t>
      </w:r>
      <w:r>
        <w:rPr>
          <w:rFonts w:hint="eastAsia" w:ascii="仿宋_GB2312" w:hAnsi="仿宋_GB2312" w:eastAsia="仿宋_GB2312" w:cs="仿宋_GB2312"/>
          <w:kern w:val="0"/>
          <w:shd w:val="clear" w:fill="auto"/>
        </w:rPr>
        <w:t>地铁行业</w:t>
      </w:r>
    </w:p>
    <w:p>
      <w:pPr>
        <w:spacing w:after="0" w:line="560" w:lineRule="exact"/>
        <w:ind w:firstLine="640" w:firstLineChars="200"/>
        <w:rPr>
          <w:rFonts w:ascii="仿宋_GB2312" w:hAnsi="仿宋_GB2312" w:eastAsia="仿宋_GB2312" w:cs="仿宋_GB2312"/>
          <w:kern w:val="0"/>
          <w:sz w:val="32"/>
          <w:szCs w:val="32"/>
          <w:shd w:val="clear" w:fill="auto"/>
        </w:rPr>
      </w:pPr>
      <w:r>
        <w:rPr>
          <w:rFonts w:hint="eastAsia" w:ascii="仿宋_GB2312" w:hAnsi="仿宋_GB2312" w:eastAsia="仿宋_GB2312" w:cs="仿宋_GB2312"/>
          <w:kern w:val="0"/>
          <w:sz w:val="32"/>
          <w:szCs w:val="32"/>
          <w:shd w:val="clear" w:fill="auto"/>
        </w:rPr>
        <w:t>根据地铁重点排放单位牵引系统年度目标碳强度、年度平均运距、年度平均客运量、辅助系统历史碳排放确定年度配额，计算公式为：</w:t>
      </w:r>
    </w:p>
    <w:p>
      <w:pPr>
        <w:autoSpaceDE w:val="0"/>
        <w:autoSpaceDN w:val="0"/>
        <w:adjustRightInd w:val="0"/>
        <w:spacing w:after="0" w:line="560" w:lineRule="exact"/>
        <w:ind w:firstLine="642" w:firstLineChars="200"/>
        <w:rPr>
          <w:rFonts w:ascii="仿宋_GB2312" w:hAnsi="仿宋_GB2312" w:eastAsia="仿宋_GB2312" w:cs="仿宋_GB2312"/>
          <w:b/>
          <w:bCs/>
          <w:kern w:val="0"/>
          <w:sz w:val="32"/>
          <w:szCs w:val="32"/>
          <w:shd w:val="clear" w:fill="auto"/>
        </w:rPr>
      </w:pPr>
      <w:r>
        <w:rPr>
          <w:rFonts w:hint="eastAsia" w:ascii="仿宋_GB2312" w:hAnsi="仿宋_GB2312" w:eastAsia="仿宋_GB2312" w:cs="仿宋_GB2312"/>
          <w:b/>
          <w:bCs/>
          <w:kern w:val="0"/>
          <w:sz w:val="32"/>
          <w:szCs w:val="32"/>
          <w:shd w:val="clear" w:fill="auto"/>
        </w:rPr>
        <w:t>年度配额</w:t>
      </w:r>
      <w:r>
        <w:rPr>
          <w:rFonts w:ascii="仿宋_GB2312" w:hAnsi="仿宋_GB2312" w:eastAsia="仿宋_GB2312" w:cs="仿宋_GB2312"/>
          <w:b/>
          <w:bCs/>
          <w:kern w:val="0"/>
          <w:sz w:val="32"/>
          <w:szCs w:val="32"/>
          <w:shd w:val="clear" w:fill="auto"/>
        </w:rPr>
        <w:t>=牵引系统年度目标碳强度×年度平均运距×年度平均客运量+</w:t>
      </w:r>
      <w:r>
        <w:rPr>
          <w:rFonts w:hint="eastAsia" w:ascii="仿宋_GB2312" w:hAnsi="仿宋_GB2312" w:eastAsia="仿宋_GB2312" w:cs="仿宋_GB2312"/>
          <w:b/>
          <w:bCs/>
          <w:kern w:val="0"/>
          <w:sz w:val="32"/>
          <w:szCs w:val="32"/>
          <w:shd w:val="clear" w:fill="auto"/>
        </w:rPr>
        <w:t>辅助</w:t>
      </w:r>
      <w:r>
        <w:rPr>
          <w:rFonts w:ascii="仿宋_GB2312" w:hAnsi="仿宋_GB2312" w:eastAsia="仿宋_GB2312" w:cs="仿宋_GB2312"/>
          <w:b/>
          <w:bCs/>
          <w:kern w:val="0"/>
          <w:sz w:val="32"/>
          <w:szCs w:val="32"/>
          <w:shd w:val="clear" w:fill="auto"/>
        </w:rPr>
        <w:t>系统历史碳排放×0.995</w:t>
      </w:r>
    </w:p>
    <w:p>
      <w:pPr>
        <w:spacing w:after="0" w:line="560" w:lineRule="exact"/>
        <w:ind w:firstLine="640" w:firstLineChars="200"/>
        <w:rPr>
          <w:rFonts w:ascii="仿宋_GB2312" w:hAnsi="仿宋_GB2312" w:eastAsia="仿宋_GB2312" w:cs="仿宋_GB2312"/>
          <w:kern w:val="0"/>
          <w:shd w:val="clear" w:fill="auto"/>
        </w:rPr>
      </w:pPr>
      <w:r>
        <w:rPr>
          <w:rFonts w:hint="eastAsia" w:ascii="仿宋_GB2312" w:hAnsi="仿宋_GB2312" w:eastAsia="仿宋_GB2312" w:cs="仿宋_GB2312"/>
          <w:kern w:val="0"/>
          <w:sz w:val="32"/>
          <w:szCs w:val="32"/>
          <w:shd w:val="clear" w:fill="auto"/>
        </w:rPr>
        <w:t>辅助系统历史碳排放是指地铁重点排放单位2023年牵引系统以外的附属系统（包括地铁站点、机修车间等）碳排放量。</w:t>
      </w:r>
    </w:p>
    <w:p>
      <w:pPr>
        <w:pStyle w:val="4"/>
        <w:spacing w:before="0" w:after="0" w:line="560" w:lineRule="exact"/>
        <w:ind w:firstLine="642" w:firstLineChars="200"/>
        <w:rPr>
          <w:rFonts w:ascii="仿宋_GB2312" w:hAnsi="仿宋_GB2312" w:eastAsia="仿宋_GB2312" w:cs="仿宋_GB2312"/>
          <w:bCs w:val="0"/>
          <w:kern w:val="0"/>
          <w:shd w:val="clear" w:fill="auto"/>
        </w:rPr>
      </w:pPr>
      <w:r>
        <w:rPr>
          <w:rFonts w:hint="eastAsia" w:ascii="仿宋_GB2312" w:hAnsi="仿宋_GB2312" w:eastAsia="仿宋_GB2312" w:cs="仿宋_GB2312"/>
          <w:kern w:val="0"/>
          <w:shd w:val="clear" w:fill="auto"/>
        </w:rPr>
        <w:t>3.</w:t>
      </w:r>
      <w:r>
        <w:rPr>
          <w:rFonts w:ascii="仿宋_GB2312" w:hAnsi="仿宋_GB2312" w:eastAsia="仿宋_GB2312" w:cs="仿宋_GB2312"/>
          <w:kern w:val="0"/>
          <w:shd w:val="clear" w:fill="auto"/>
        </w:rPr>
        <w:t xml:space="preserve"> </w:t>
      </w:r>
      <w:r>
        <w:rPr>
          <w:rFonts w:hint="eastAsia" w:ascii="仿宋_GB2312" w:hAnsi="仿宋_GB2312" w:eastAsia="仿宋_GB2312" w:cs="仿宋_GB2312"/>
          <w:kern w:val="0"/>
          <w:shd w:val="clear" w:fill="auto"/>
        </w:rPr>
        <w:t>危险废物处理、固体废物处理、污泥处理、污水处理行业</w:t>
      </w:r>
    </w:p>
    <w:p>
      <w:pPr>
        <w:spacing w:after="0" w:line="560" w:lineRule="exact"/>
        <w:ind w:firstLine="640" w:firstLineChars="200"/>
        <w:rPr>
          <w:rFonts w:ascii="仿宋_GB2312" w:hAnsi="仿宋_GB2312" w:eastAsia="仿宋_GB2312" w:cs="仿宋_GB2312"/>
          <w:kern w:val="0"/>
          <w:sz w:val="32"/>
          <w:szCs w:val="32"/>
          <w:shd w:val="clear" w:fill="auto"/>
        </w:rPr>
      </w:pPr>
      <w:r>
        <w:rPr>
          <w:rFonts w:hint="eastAsia" w:ascii="仿宋_GB2312" w:hAnsi="仿宋_GB2312" w:eastAsia="仿宋_GB2312" w:cs="仿宋_GB2312"/>
          <w:kern w:val="0"/>
          <w:sz w:val="32"/>
          <w:szCs w:val="32"/>
          <w:shd w:val="clear" w:fill="auto"/>
        </w:rPr>
        <w:t>根据重点排放单位年度目标碳强度、年度处理量确定年度配额，计算公式为：</w:t>
      </w:r>
    </w:p>
    <w:p>
      <w:pPr>
        <w:autoSpaceDE w:val="0"/>
        <w:autoSpaceDN w:val="0"/>
        <w:adjustRightInd w:val="0"/>
        <w:spacing w:after="0" w:line="560" w:lineRule="exact"/>
        <w:ind w:firstLine="642" w:firstLineChars="200"/>
        <w:rPr>
          <w:rFonts w:ascii="仿宋_GB2312" w:hAnsi="仿宋_GB2312" w:eastAsia="仿宋_GB2312" w:cs="仿宋_GB2312"/>
          <w:b/>
          <w:bCs/>
          <w:kern w:val="0"/>
          <w:sz w:val="32"/>
          <w:szCs w:val="32"/>
          <w:shd w:val="clear" w:fill="auto"/>
        </w:rPr>
      </w:pPr>
      <w:r>
        <w:rPr>
          <w:rFonts w:hint="eastAsia" w:ascii="仿宋_GB2312" w:hAnsi="仿宋_GB2312" w:eastAsia="仿宋_GB2312" w:cs="仿宋_GB2312"/>
          <w:b/>
          <w:bCs/>
          <w:kern w:val="0"/>
          <w:sz w:val="32"/>
          <w:szCs w:val="32"/>
          <w:shd w:val="clear" w:fill="auto"/>
        </w:rPr>
        <w:t>年度配额 = 年度目标碳强度×年度处理量</w:t>
      </w:r>
    </w:p>
    <w:p>
      <w:pPr>
        <w:autoSpaceDE w:val="0"/>
        <w:autoSpaceDN w:val="0"/>
        <w:adjustRightInd w:val="0"/>
        <w:spacing w:after="0" w:line="560" w:lineRule="exact"/>
        <w:ind w:firstLine="640" w:firstLineChars="200"/>
        <w:rPr>
          <w:rFonts w:ascii="仿宋_GB2312" w:hAnsi="仿宋_GB2312" w:eastAsia="仿宋_GB2312" w:cs="仿宋_GB2312"/>
          <w:kern w:val="0"/>
          <w:sz w:val="32"/>
          <w:szCs w:val="32"/>
          <w:shd w:val="clear" w:fill="auto"/>
        </w:rPr>
      </w:pPr>
      <w:r>
        <w:rPr>
          <w:rFonts w:hint="eastAsia" w:ascii="仿宋_GB2312" w:hAnsi="仿宋_GB2312" w:eastAsia="仿宋_GB2312" w:cs="仿宋_GB2312"/>
          <w:kern w:val="0"/>
          <w:sz w:val="32"/>
          <w:szCs w:val="32"/>
          <w:shd w:val="clear" w:fill="auto"/>
        </w:rPr>
        <w:t>年度处理量指年度危险废物处理量、固体废物处理量、污泥处理量、污水处理量。</w:t>
      </w:r>
    </w:p>
    <w:p>
      <w:pPr>
        <w:pStyle w:val="4"/>
        <w:spacing w:before="0" w:after="0" w:line="560" w:lineRule="exact"/>
        <w:ind w:firstLine="642" w:firstLineChars="200"/>
        <w:rPr>
          <w:rFonts w:ascii="仿宋_GB2312" w:hAnsi="仿宋_GB2312" w:eastAsia="仿宋_GB2312" w:cs="仿宋_GB2312"/>
          <w:bCs w:val="0"/>
          <w:kern w:val="0"/>
          <w:shd w:val="clear" w:fill="auto"/>
        </w:rPr>
      </w:pPr>
      <w:r>
        <w:rPr>
          <w:rFonts w:hint="eastAsia" w:ascii="仿宋_GB2312" w:hAnsi="仿宋_GB2312" w:eastAsia="仿宋_GB2312" w:cs="仿宋_GB2312"/>
          <w:kern w:val="0"/>
          <w:shd w:val="clear" w:fill="auto"/>
        </w:rPr>
        <w:t>4.</w:t>
      </w:r>
      <w:r>
        <w:rPr>
          <w:rFonts w:ascii="仿宋_GB2312" w:hAnsi="仿宋_GB2312" w:eastAsia="仿宋_GB2312" w:cs="仿宋_GB2312"/>
          <w:kern w:val="0"/>
          <w:shd w:val="clear" w:fill="auto"/>
        </w:rPr>
        <w:t xml:space="preserve"> </w:t>
      </w:r>
      <w:r>
        <w:rPr>
          <w:rFonts w:hint="eastAsia" w:ascii="仿宋_GB2312" w:hAnsi="仿宋_GB2312" w:eastAsia="仿宋_GB2312" w:cs="仿宋_GB2312"/>
          <w:kern w:val="0"/>
          <w:shd w:val="clear" w:fill="auto"/>
        </w:rPr>
        <w:t>港口码头行业</w:t>
      </w:r>
    </w:p>
    <w:p>
      <w:pPr>
        <w:spacing w:after="0" w:line="560" w:lineRule="exact"/>
        <w:ind w:firstLine="640" w:firstLineChars="200"/>
        <w:rPr>
          <w:rFonts w:ascii="仿宋_GB2312" w:hAnsi="仿宋_GB2312" w:eastAsia="仿宋_GB2312" w:cs="仿宋_GB2312"/>
          <w:kern w:val="0"/>
          <w:sz w:val="32"/>
          <w:szCs w:val="32"/>
          <w:shd w:val="clear" w:fill="auto"/>
        </w:rPr>
      </w:pPr>
      <w:r>
        <w:rPr>
          <w:rFonts w:hint="eastAsia" w:ascii="仿宋_GB2312" w:hAnsi="仿宋_GB2312" w:eastAsia="仿宋_GB2312" w:cs="仿宋_GB2312"/>
          <w:kern w:val="0"/>
          <w:sz w:val="32"/>
          <w:szCs w:val="32"/>
          <w:shd w:val="clear" w:fill="auto"/>
        </w:rPr>
        <w:t>根据重点排放单位年度目标碳强度、年度吞吐量确定年度配额，计算公式为：</w:t>
      </w:r>
    </w:p>
    <w:p>
      <w:pPr>
        <w:autoSpaceDE w:val="0"/>
        <w:autoSpaceDN w:val="0"/>
        <w:adjustRightInd w:val="0"/>
        <w:spacing w:after="0" w:line="560" w:lineRule="exact"/>
        <w:ind w:firstLine="642" w:firstLineChars="200"/>
        <w:rPr>
          <w:rFonts w:ascii="仿宋_GB2312" w:hAnsi="仿宋_GB2312" w:eastAsia="仿宋_GB2312" w:cs="仿宋_GB2312"/>
          <w:b/>
          <w:bCs/>
          <w:kern w:val="0"/>
          <w:sz w:val="32"/>
          <w:szCs w:val="32"/>
          <w:shd w:val="clear" w:fill="auto"/>
        </w:rPr>
      </w:pPr>
      <w:r>
        <w:rPr>
          <w:rFonts w:hint="eastAsia" w:ascii="仿宋_GB2312" w:hAnsi="仿宋_GB2312" w:eastAsia="仿宋_GB2312" w:cs="仿宋_GB2312"/>
          <w:b/>
          <w:bCs/>
          <w:kern w:val="0"/>
          <w:sz w:val="32"/>
          <w:szCs w:val="32"/>
          <w:shd w:val="clear" w:fill="auto"/>
        </w:rPr>
        <w:t>年度配额 = 年度目标碳强度×年度吞吐量</w:t>
      </w:r>
    </w:p>
    <w:p>
      <w:pPr>
        <w:pStyle w:val="4"/>
        <w:spacing w:before="0" w:after="0" w:line="560" w:lineRule="exact"/>
        <w:ind w:firstLine="642" w:firstLineChars="200"/>
        <w:rPr>
          <w:rFonts w:ascii="仿宋_GB2312" w:hAnsi="仿宋_GB2312" w:eastAsia="仿宋_GB2312" w:cs="仿宋_GB2312"/>
          <w:bCs w:val="0"/>
          <w:kern w:val="0"/>
          <w:shd w:val="clear" w:fill="auto"/>
        </w:rPr>
      </w:pPr>
      <w:r>
        <w:rPr>
          <w:rFonts w:hint="eastAsia" w:ascii="仿宋_GB2312" w:hAnsi="仿宋_GB2312" w:eastAsia="仿宋_GB2312" w:cs="仿宋_GB2312"/>
          <w:kern w:val="0"/>
          <w:shd w:val="clear" w:fill="auto"/>
        </w:rPr>
        <w:t>5.</w:t>
      </w:r>
      <w:r>
        <w:rPr>
          <w:rFonts w:ascii="仿宋_GB2312" w:hAnsi="仿宋_GB2312" w:eastAsia="仿宋_GB2312" w:cs="仿宋_GB2312"/>
          <w:kern w:val="0"/>
          <w:shd w:val="clear" w:fill="auto"/>
        </w:rPr>
        <w:t xml:space="preserve"> </w:t>
      </w:r>
      <w:r>
        <w:rPr>
          <w:rFonts w:hint="eastAsia" w:ascii="仿宋_GB2312" w:hAnsi="仿宋_GB2312" w:eastAsia="仿宋_GB2312" w:cs="仿宋_GB2312"/>
          <w:kern w:val="0"/>
          <w:shd w:val="clear" w:fill="auto"/>
        </w:rPr>
        <w:t>平板显示、信息化学品及其他专用化学品行业</w:t>
      </w:r>
    </w:p>
    <w:p>
      <w:pPr>
        <w:spacing w:after="0" w:line="560" w:lineRule="exact"/>
        <w:ind w:firstLine="640" w:firstLineChars="200"/>
        <w:rPr>
          <w:rFonts w:ascii="仿宋_GB2312" w:hAnsi="仿宋_GB2312" w:eastAsia="仿宋_GB2312" w:cs="仿宋_GB2312"/>
          <w:kern w:val="0"/>
          <w:sz w:val="32"/>
          <w:szCs w:val="32"/>
          <w:shd w:val="clear" w:fill="auto"/>
        </w:rPr>
      </w:pPr>
      <w:r>
        <w:rPr>
          <w:rFonts w:hint="eastAsia" w:ascii="仿宋_GB2312" w:hAnsi="仿宋_GB2312" w:eastAsia="仿宋_GB2312" w:cs="仿宋_GB2312"/>
          <w:kern w:val="0"/>
          <w:sz w:val="32"/>
          <w:szCs w:val="32"/>
          <w:shd w:val="clear" w:fill="auto"/>
        </w:rPr>
        <w:t>根据重点排放单位年度目标碳强度、年度产品产量确定年度配额，计算公式为：</w:t>
      </w:r>
    </w:p>
    <w:p>
      <w:pPr>
        <w:autoSpaceDE w:val="0"/>
        <w:autoSpaceDN w:val="0"/>
        <w:adjustRightInd w:val="0"/>
        <w:spacing w:after="0" w:line="560" w:lineRule="exact"/>
        <w:ind w:firstLine="642" w:firstLineChars="200"/>
        <w:rPr>
          <w:rFonts w:ascii="仿宋_GB2312" w:hAnsi="仿宋_GB2312" w:eastAsia="仿宋_GB2312" w:cs="仿宋_GB2312"/>
          <w:b/>
          <w:bCs/>
          <w:kern w:val="0"/>
          <w:sz w:val="32"/>
          <w:szCs w:val="32"/>
          <w:shd w:val="clear" w:fill="auto"/>
        </w:rPr>
      </w:pPr>
      <w:r>
        <w:rPr>
          <w:rFonts w:hint="eastAsia" w:ascii="仿宋_GB2312" w:hAnsi="仿宋_GB2312" w:eastAsia="仿宋_GB2312" w:cs="仿宋_GB2312"/>
          <w:b/>
          <w:bCs/>
          <w:kern w:val="0"/>
          <w:sz w:val="32"/>
          <w:szCs w:val="32"/>
          <w:shd w:val="clear" w:fill="auto"/>
        </w:rPr>
        <w:t>年度配额 = 年度目标碳强度×年度产品产量</w:t>
      </w:r>
    </w:p>
    <w:p>
      <w:pPr>
        <w:autoSpaceDE w:val="0"/>
        <w:autoSpaceDN w:val="0"/>
        <w:adjustRightInd w:val="0"/>
        <w:spacing w:after="0" w:line="560" w:lineRule="exact"/>
        <w:ind w:firstLine="640" w:firstLineChars="200"/>
        <w:rPr>
          <w:rFonts w:ascii="仿宋_GB2312" w:hAnsi="仿宋_GB2312" w:eastAsia="仿宋_GB2312" w:cs="仿宋_GB2312"/>
          <w:kern w:val="0"/>
          <w:sz w:val="32"/>
          <w:szCs w:val="32"/>
          <w:shd w:val="clear" w:fill="auto"/>
        </w:rPr>
      </w:pPr>
      <w:r>
        <w:rPr>
          <w:rFonts w:hint="eastAsia" w:ascii="仿宋_GB2312" w:hAnsi="仿宋_GB2312" w:eastAsia="仿宋_GB2312" w:cs="仿宋_GB2312"/>
          <w:kern w:val="0"/>
          <w:sz w:val="32"/>
          <w:szCs w:val="32"/>
          <w:shd w:val="clear" w:fill="auto"/>
        </w:rPr>
        <w:t>年度产品产量指年度面板生产量、化学品生产量。</w:t>
      </w:r>
    </w:p>
    <w:p>
      <w:pPr>
        <w:autoSpaceDE w:val="0"/>
        <w:autoSpaceDN w:val="0"/>
        <w:adjustRightInd w:val="0"/>
        <w:spacing w:after="0" w:line="560" w:lineRule="exact"/>
        <w:ind w:firstLine="640" w:firstLineChars="200"/>
        <w:rPr>
          <w:rFonts w:ascii="仿宋_GB2312" w:hAnsi="仿宋_GB2312" w:eastAsia="仿宋_GB2312" w:cs="仿宋_GB2312"/>
          <w:kern w:val="0"/>
          <w:sz w:val="32"/>
          <w:szCs w:val="32"/>
          <w:shd w:val="clear" w:fill="auto"/>
        </w:rPr>
      </w:pPr>
      <w:r>
        <w:rPr>
          <w:rFonts w:hint="eastAsia" w:ascii="仿宋_GB2312" w:hAnsi="仿宋_GB2312" w:eastAsia="仿宋_GB2312" w:cs="仿宋_GB2312"/>
          <w:kern w:val="0"/>
          <w:sz w:val="32"/>
          <w:szCs w:val="32"/>
          <w:shd w:val="clear" w:fill="auto"/>
        </w:rPr>
        <w:t>2024年公交、地铁、危险废物处理、固体废物处理、污泥处理、污水处理、港口码头、平板显示、信息化学品及其他专用化学品行业重点排放单位年度目标碳强度的设定方法详见附件2。</w:t>
      </w:r>
    </w:p>
    <w:p>
      <w:pPr>
        <w:pStyle w:val="3"/>
        <w:spacing w:before="0" w:after="0" w:line="560" w:lineRule="exact"/>
        <w:ind w:firstLine="642" w:firstLineChars="200"/>
        <w:rPr>
          <w:rFonts w:ascii="楷体_GB2312" w:hAnsi="楷体_GB2312" w:eastAsia="楷体_GB2312" w:cs="楷体_GB2312"/>
          <w:szCs w:val="28"/>
          <w:shd w:val="clear" w:fill="auto"/>
        </w:rPr>
      </w:pPr>
      <w:r>
        <w:rPr>
          <w:rFonts w:hint="eastAsia" w:ascii="楷体_GB2312" w:hAnsi="楷体_GB2312" w:eastAsia="楷体_GB2312" w:cs="楷体_GB2312"/>
          <w:szCs w:val="28"/>
          <w:shd w:val="clear" w:fill="auto"/>
        </w:rPr>
        <w:t>（三）历史增加值强度法</w:t>
      </w:r>
    </w:p>
    <w:p>
      <w:pPr>
        <w:autoSpaceDE w:val="0"/>
        <w:autoSpaceDN w:val="0"/>
        <w:adjustRightInd w:val="0"/>
        <w:spacing w:after="0" w:line="560" w:lineRule="exact"/>
        <w:ind w:firstLine="640" w:firstLineChars="200"/>
        <w:rPr>
          <w:rFonts w:ascii="仿宋_GB2312" w:hAnsi="仿宋_GB2312" w:eastAsia="仿宋_GB2312" w:cs="仿宋_GB2312"/>
          <w:kern w:val="0"/>
          <w:sz w:val="32"/>
          <w:szCs w:val="32"/>
          <w:shd w:val="clear" w:fill="auto"/>
        </w:rPr>
      </w:pPr>
      <w:r>
        <w:rPr>
          <w:rFonts w:hint="eastAsia" w:ascii="仿宋_GB2312" w:hAnsi="仿宋_GB2312" w:eastAsia="仿宋_GB2312" w:cs="仿宋_GB2312"/>
          <w:kern w:val="0"/>
          <w:sz w:val="32"/>
          <w:szCs w:val="32"/>
          <w:shd w:val="clear" w:fill="auto"/>
        </w:rPr>
        <w:t>制造业及其他行业重点排放单位配额分配采用历史增加值强度法，根据重点排放单位年度目标碳强度、年度增加值确定年度配额，计算公式为：</w:t>
      </w:r>
    </w:p>
    <w:p>
      <w:pPr>
        <w:autoSpaceDE w:val="0"/>
        <w:autoSpaceDN w:val="0"/>
        <w:adjustRightInd w:val="0"/>
        <w:spacing w:after="0" w:line="560" w:lineRule="exact"/>
        <w:ind w:firstLine="642" w:firstLineChars="200"/>
        <w:rPr>
          <w:rFonts w:ascii="仿宋_GB2312" w:hAnsi="仿宋_GB2312" w:eastAsia="仿宋_GB2312" w:cs="仿宋_GB2312"/>
          <w:b/>
          <w:bCs/>
          <w:kern w:val="0"/>
          <w:sz w:val="32"/>
          <w:szCs w:val="32"/>
          <w:shd w:val="clear" w:fill="auto"/>
        </w:rPr>
      </w:pPr>
      <w:r>
        <w:rPr>
          <w:rFonts w:hint="eastAsia" w:ascii="仿宋_GB2312" w:hAnsi="仿宋_GB2312" w:eastAsia="仿宋_GB2312" w:cs="仿宋_GB2312"/>
          <w:b/>
          <w:bCs/>
          <w:kern w:val="0"/>
          <w:sz w:val="32"/>
          <w:szCs w:val="32"/>
          <w:shd w:val="clear" w:fill="auto"/>
        </w:rPr>
        <w:t>年度配额=年度目标碳强度×年度增加值</w:t>
      </w:r>
    </w:p>
    <w:p>
      <w:pPr>
        <w:spacing w:after="0" w:line="560" w:lineRule="exact"/>
        <w:ind w:firstLine="640" w:firstLineChars="200"/>
        <w:rPr>
          <w:rFonts w:ascii="仿宋_GB2312" w:hAnsi="仿宋_GB2312" w:eastAsia="仿宋_GB2312" w:cs="仿宋_GB2312"/>
          <w:kern w:val="0"/>
          <w:sz w:val="32"/>
          <w:szCs w:val="32"/>
          <w:shd w:val="clear" w:fill="auto"/>
        </w:rPr>
      </w:pPr>
      <w:r>
        <w:rPr>
          <w:rFonts w:hint="eastAsia" w:ascii="仿宋_GB2312" w:hAnsi="仿宋_GB2312" w:eastAsia="仿宋_GB2312" w:cs="仿宋_GB2312"/>
          <w:kern w:val="0"/>
          <w:sz w:val="32"/>
          <w:szCs w:val="32"/>
          <w:shd w:val="clear" w:fill="auto"/>
        </w:rPr>
        <w:t>2024年制造业及其他行业重点排放单位年度目标碳强度的设定方法详见附件3。</w:t>
      </w:r>
    </w:p>
    <w:p>
      <w:pPr>
        <w:pStyle w:val="3"/>
        <w:spacing w:before="0" w:after="0" w:line="560" w:lineRule="exact"/>
        <w:ind w:firstLine="642" w:firstLineChars="200"/>
        <w:rPr>
          <w:rFonts w:ascii="楷体_GB2312" w:hAnsi="楷体_GB2312" w:eastAsia="楷体_GB2312" w:cs="楷体_GB2312"/>
          <w:szCs w:val="28"/>
          <w:shd w:val="clear" w:fill="auto"/>
        </w:rPr>
      </w:pPr>
      <w:r>
        <w:rPr>
          <w:rFonts w:hint="eastAsia" w:ascii="楷体_GB2312" w:hAnsi="楷体_GB2312" w:eastAsia="楷体_GB2312" w:cs="楷体_GB2312"/>
          <w:szCs w:val="28"/>
          <w:shd w:val="clear" w:fill="auto"/>
        </w:rPr>
        <w:t>（四）历史排放法</w:t>
      </w:r>
    </w:p>
    <w:p>
      <w:pPr>
        <w:autoSpaceDE w:val="0"/>
        <w:autoSpaceDN w:val="0"/>
        <w:adjustRightInd w:val="0"/>
        <w:spacing w:after="0" w:line="560" w:lineRule="exact"/>
        <w:ind w:firstLine="640" w:firstLineChars="200"/>
        <w:rPr>
          <w:rFonts w:ascii="仿宋_GB2312" w:hAnsi="仿宋_GB2312" w:eastAsia="仿宋_GB2312" w:cs="仿宋_GB2312"/>
          <w:kern w:val="0"/>
          <w:sz w:val="32"/>
          <w:szCs w:val="32"/>
          <w:shd w:val="clear" w:fill="auto"/>
        </w:rPr>
      </w:pPr>
      <w:r>
        <w:rPr>
          <w:rFonts w:hint="eastAsia" w:ascii="仿宋_GB2312" w:hAnsi="仿宋_GB2312" w:eastAsia="仿宋_GB2312" w:cs="仿宋_GB2312"/>
          <w:kern w:val="0"/>
          <w:sz w:val="32"/>
          <w:szCs w:val="32"/>
          <w:shd w:val="clear" w:fill="auto"/>
        </w:rPr>
        <w:t>住宿餐饮（宾馆、酒店等）、批发和零售（商超、批发等）、仓储邮政、软件和信息服务等服务行业，以及高校、机关事业单位等重点排放单位配额分配采用历史排放法，计算公式为：</w:t>
      </w:r>
    </w:p>
    <w:p>
      <w:pPr>
        <w:autoSpaceDE w:val="0"/>
        <w:autoSpaceDN w:val="0"/>
        <w:adjustRightInd w:val="0"/>
        <w:spacing w:after="0" w:line="560" w:lineRule="exact"/>
        <w:ind w:firstLine="640" w:firstLineChars="200"/>
        <w:rPr>
          <w:rFonts w:ascii="仿宋_GB2312" w:hAnsi="仿宋_GB2312" w:eastAsia="仿宋_GB2312" w:cs="仿宋_GB2312"/>
          <w:kern w:val="0"/>
          <w:sz w:val="32"/>
          <w:szCs w:val="32"/>
          <w:shd w:val="clear" w:fill="auto"/>
        </w:rPr>
      </w:pPr>
      <w:r>
        <w:rPr>
          <w:rFonts w:hint="eastAsia" w:ascii="仿宋_GB2312" w:hAnsi="仿宋_GB2312" w:eastAsia="仿宋_GB2312" w:cs="仿宋_GB2312"/>
          <w:kern w:val="0"/>
          <w:sz w:val="32"/>
          <w:szCs w:val="32"/>
          <w:shd w:val="clear" w:fill="auto"/>
        </w:rPr>
        <w:t>年度配额=重点排放单位</w:t>
      </w:r>
      <w:bookmarkStart w:id="3" w:name="_Hlk156916112"/>
      <w:r>
        <w:rPr>
          <w:rFonts w:hint="eastAsia" w:ascii="仿宋_GB2312" w:hAnsi="仿宋_GB2312" w:eastAsia="仿宋_GB2312" w:cs="仿宋_GB2312"/>
          <w:kern w:val="0"/>
          <w:sz w:val="32"/>
          <w:szCs w:val="32"/>
          <w:shd w:val="clear" w:fill="auto"/>
        </w:rPr>
        <w:t>历史基准年排放量</w:t>
      </w:r>
      <w:bookmarkEnd w:id="3"/>
      <w:r>
        <w:rPr>
          <w:rFonts w:hint="eastAsia" w:ascii="仿宋_GB2312" w:hAnsi="仿宋_GB2312" w:eastAsia="仿宋_GB2312" w:cs="仿宋_GB2312"/>
          <w:kern w:val="0"/>
          <w:sz w:val="32"/>
          <w:szCs w:val="32"/>
          <w:shd w:val="clear" w:fill="auto"/>
        </w:rPr>
        <w:t>×年度下降系数 + 新增场所排放量</w:t>
      </w:r>
    </w:p>
    <w:p>
      <w:pPr>
        <w:autoSpaceDE w:val="0"/>
        <w:autoSpaceDN w:val="0"/>
        <w:adjustRightInd w:val="0"/>
        <w:spacing w:after="0" w:line="560" w:lineRule="exact"/>
        <w:ind w:firstLine="640" w:firstLineChars="200"/>
        <w:rPr>
          <w:rFonts w:ascii="仿宋_GB2312" w:hAnsi="仿宋_GB2312" w:eastAsia="仿宋_GB2312" w:cs="仿宋_GB2312"/>
          <w:kern w:val="0"/>
          <w:sz w:val="32"/>
          <w:szCs w:val="32"/>
          <w:shd w:val="clear" w:fill="auto"/>
        </w:rPr>
      </w:pPr>
      <w:r>
        <w:rPr>
          <w:rFonts w:hint="eastAsia" w:ascii="仿宋_GB2312" w:hAnsi="仿宋_GB2312" w:eastAsia="仿宋_GB2312" w:cs="仿宋_GB2312"/>
          <w:kern w:val="0"/>
          <w:sz w:val="32"/>
          <w:szCs w:val="32"/>
          <w:shd w:val="clear" w:fill="auto"/>
        </w:rPr>
        <w:t>重点排放单位历史基准年排放量为基准年度算数平均排放量，若2024年度相较于历史基准年发生排放场所或排放边界变化的</w:t>
      </w:r>
      <w:bookmarkStart w:id="9" w:name="_GoBack"/>
      <w:bookmarkEnd w:id="9"/>
      <w:r>
        <w:rPr>
          <w:rFonts w:hint="eastAsia" w:ascii="仿宋_GB2312" w:hAnsi="仿宋_GB2312" w:eastAsia="仿宋_GB2312" w:cs="仿宋_GB2312"/>
          <w:kern w:val="0"/>
          <w:sz w:val="32"/>
          <w:szCs w:val="32"/>
          <w:shd w:val="clear" w:fill="auto"/>
        </w:rPr>
        <w:t>，采用调整后历史基准年排放量。年度下降系数为0</w:t>
      </w:r>
      <w:r>
        <w:rPr>
          <w:rFonts w:ascii="仿宋_GB2312" w:hAnsi="仿宋_GB2312" w:eastAsia="仿宋_GB2312" w:cs="仿宋_GB2312"/>
          <w:kern w:val="0"/>
          <w:sz w:val="32"/>
          <w:szCs w:val="32"/>
          <w:shd w:val="clear" w:fill="auto"/>
        </w:rPr>
        <w:t>.985</w:t>
      </w:r>
      <w:r>
        <w:rPr>
          <w:rFonts w:hint="eastAsia" w:ascii="仿宋_GB2312" w:hAnsi="仿宋_GB2312" w:eastAsia="仿宋_GB2312" w:cs="仿宋_GB2312"/>
          <w:kern w:val="0"/>
          <w:sz w:val="32"/>
          <w:szCs w:val="32"/>
          <w:shd w:val="clear" w:fill="auto"/>
        </w:rPr>
        <w:t>。</w:t>
      </w:r>
    </w:p>
    <w:p>
      <w:pPr>
        <w:pStyle w:val="2"/>
        <w:spacing w:before="0" w:after="0" w:line="560" w:lineRule="exact"/>
        <w:ind w:firstLine="640" w:firstLineChars="200"/>
        <w:rPr>
          <w:rFonts w:ascii="黑体" w:hAnsi="黑体" w:eastAsia="黑体" w:cs="黑体"/>
          <w:b w:val="0"/>
          <w:bCs w:val="0"/>
          <w:kern w:val="2"/>
          <w:sz w:val="32"/>
          <w:szCs w:val="28"/>
          <w:shd w:val="clear" w:fill="auto"/>
        </w:rPr>
      </w:pPr>
      <w:r>
        <w:rPr>
          <w:rFonts w:hint="eastAsia" w:ascii="黑体" w:hAnsi="黑体" w:eastAsia="黑体" w:cs="黑体"/>
          <w:b w:val="0"/>
          <w:bCs w:val="0"/>
          <w:kern w:val="2"/>
          <w:sz w:val="32"/>
          <w:szCs w:val="28"/>
          <w:shd w:val="clear" w:fill="auto"/>
        </w:rPr>
        <w:t>三、配额发放</w:t>
      </w:r>
    </w:p>
    <w:p>
      <w:pPr>
        <w:spacing w:after="0" w:line="560" w:lineRule="exact"/>
        <w:ind w:firstLine="640" w:firstLineChars="200"/>
        <w:rPr>
          <w:rFonts w:ascii="仿宋_GB2312" w:hAnsi="仿宋_GB2312" w:eastAsia="仿宋_GB2312" w:cs="仿宋_GB2312"/>
          <w:kern w:val="0"/>
          <w:sz w:val="32"/>
          <w:szCs w:val="32"/>
          <w:shd w:val="clear" w:fill="auto"/>
        </w:rPr>
      </w:pPr>
      <w:r>
        <w:rPr>
          <w:rFonts w:hint="eastAsia" w:ascii="仿宋_GB2312" w:hAnsi="仿宋_GB2312" w:eastAsia="仿宋_GB2312" w:cs="仿宋_GB2312"/>
          <w:kern w:val="0"/>
          <w:sz w:val="32"/>
          <w:szCs w:val="32"/>
          <w:shd w:val="clear" w:fill="auto"/>
        </w:rPr>
        <w:t>考虑国内外近期经济、外贸形势等因素，</w:t>
      </w:r>
      <w:r>
        <w:rPr>
          <w:rFonts w:ascii="仿宋_GB2312" w:hAnsi="仿宋_GB2312" w:eastAsia="仿宋_GB2312" w:cs="仿宋_GB2312"/>
          <w:kern w:val="0"/>
          <w:sz w:val="32"/>
          <w:szCs w:val="32"/>
          <w:shd w:val="clear" w:fill="auto"/>
        </w:rPr>
        <w:t>202</w:t>
      </w:r>
      <w:r>
        <w:rPr>
          <w:rFonts w:hint="eastAsia" w:ascii="仿宋_GB2312" w:hAnsi="仿宋_GB2312" w:eastAsia="仿宋_GB2312" w:cs="仿宋_GB2312"/>
          <w:kern w:val="0"/>
          <w:sz w:val="32"/>
          <w:szCs w:val="32"/>
          <w:shd w:val="clear" w:fill="auto"/>
        </w:rPr>
        <w:t>4</w:t>
      </w:r>
      <w:r>
        <w:rPr>
          <w:rFonts w:ascii="仿宋_GB2312" w:hAnsi="仿宋_GB2312" w:eastAsia="仿宋_GB2312" w:cs="仿宋_GB2312"/>
          <w:kern w:val="0"/>
          <w:sz w:val="32"/>
          <w:szCs w:val="32"/>
          <w:shd w:val="clear" w:fill="auto"/>
        </w:rPr>
        <w:t>年度重点排放单位配额</w:t>
      </w:r>
      <w:r>
        <w:rPr>
          <w:rFonts w:hint="eastAsia" w:ascii="仿宋_GB2312" w:hAnsi="仿宋_GB2312" w:eastAsia="仿宋_GB2312" w:cs="仿宋_GB2312"/>
          <w:kern w:val="0"/>
          <w:sz w:val="32"/>
          <w:szCs w:val="32"/>
          <w:shd w:val="clear" w:fill="auto"/>
        </w:rPr>
        <w:t>全部</w:t>
      </w:r>
      <w:r>
        <w:rPr>
          <w:rFonts w:ascii="仿宋_GB2312" w:hAnsi="仿宋_GB2312" w:eastAsia="仿宋_GB2312" w:cs="仿宋_GB2312"/>
          <w:kern w:val="0"/>
          <w:sz w:val="32"/>
          <w:szCs w:val="32"/>
          <w:shd w:val="clear" w:fill="auto"/>
        </w:rPr>
        <w:t>免费</w:t>
      </w:r>
      <w:r>
        <w:rPr>
          <w:rFonts w:hint="eastAsia" w:ascii="仿宋_GB2312" w:hAnsi="仿宋_GB2312" w:eastAsia="仿宋_GB2312" w:cs="仿宋_GB2312"/>
          <w:kern w:val="0"/>
          <w:sz w:val="32"/>
          <w:szCs w:val="32"/>
          <w:shd w:val="clear" w:fill="auto"/>
        </w:rPr>
        <w:t>发放。</w:t>
      </w:r>
    </w:p>
    <w:p>
      <w:pPr>
        <w:pStyle w:val="3"/>
        <w:spacing w:before="0" w:after="0" w:line="560" w:lineRule="exact"/>
        <w:ind w:firstLine="642" w:firstLineChars="200"/>
        <w:rPr>
          <w:rFonts w:ascii="楷体_GB2312" w:hAnsi="楷体_GB2312" w:eastAsia="楷体_GB2312" w:cs="楷体_GB2312"/>
          <w:b w:val="0"/>
          <w:bCs w:val="0"/>
          <w:kern w:val="0"/>
          <w:shd w:val="clear" w:fill="auto"/>
        </w:rPr>
      </w:pPr>
      <w:r>
        <w:rPr>
          <w:rFonts w:hint="eastAsia" w:ascii="楷体_GB2312" w:hAnsi="楷体_GB2312" w:eastAsia="楷体_GB2312" w:cs="楷体_GB2312"/>
          <w:kern w:val="0"/>
          <w:shd w:val="clear" w:fill="auto"/>
        </w:rPr>
        <w:t>（一）配额预分配</w:t>
      </w:r>
    </w:p>
    <w:p>
      <w:pPr>
        <w:spacing w:after="0" w:line="560" w:lineRule="exact"/>
        <w:ind w:firstLine="640" w:firstLineChars="200"/>
        <w:rPr>
          <w:rFonts w:ascii="Times New Roman" w:hAnsi="Times New Roman" w:eastAsia="仿宋_GB2312" w:cs="Times New Roman"/>
          <w:kern w:val="0"/>
          <w:sz w:val="32"/>
          <w:szCs w:val="32"/>
          <w:shd w:val="clear" w:fill="auto"/>
        </w:rPr>
      </w:pPr>
      <w:r>
        <w:rPr>
          <w:rFonts w:hint="eastAsia" w:ascii="Times New Roman" w:hAnsi="Times New Roman" w:eastAsia="仿宋_GB2312" w:cs="Times New Roman"/>
          <w:kern w:val="0"/>
          <w:sz w:val="32"/>
          <w:szCs w:val="32"/>
          <w:shd w:val="clear" w:fill="auto"/>
        </w:rPr>
        <w:t>配额预分配对象为既有重点排放单位，</w:t>
      </w:r>
      <w:r>
        <w:rPr>
          <w:rFonts w:ascii="Times New Roman" w:hAnsi="Times New Roman" w:eastAsia="仿宋_GB2312" w:cs="Times New Roman"/>
          <w:kern w:val="0"/>
          <w:sz w:val="32"/>
          <w:szCs w:val="32"/>
          <w:shd w:val="clear" w:fill="auto"/>
        </w:rPr>
        <w:t>根据</w:t>
      </w:r>
      <w:r>
        <w:rPr>
          <w:rFonts w:hint="eastAsia" w:ascii="Times New Roman" w:hAnsi="Times New Roman" w:eastAsia="仿宋_GB2312" w:cs="Times New Roman"/>
          <w:kern w:val="0"/>
          <w:sz w:val="32"/>
          <w:szCs w:val="32"/>
          <w:shd w:val="clear" w:fill="auto"/>
        </w:rPr>
        <w:t>该</w:t>
      </w:r>
      <w:r>
        <w:rPr>
          <w:rFonts w:ascii="Times New Roman" w:hAnsi="Times New Roman" w:eastAsia="仿宋_GB2312" w:cs="Times New Roman"/>
          <w:kern w:val="0"/>
          <w:sz w:val="32"/>
          <w:szCs w:val="32"/>
          <w:shd w:val="clear" w:fill="auto"/>
        </w:rPr>
        <w:t>单位</w:t>
      </w:r>
      <w:r>
        <w:rPr>
          <w:rFonts w:ascii="仿宋_GB2312" w:hAnsi="仿宋_GB2312" w:eastAsia="仿宋_GB2312" w:cs="仿宋_GB2312"/>
          <w:kern w:val="0"/>
          <w:sz w:val="32"/>
          <w:szCs w:val="32"/>
          <w:shd w:val="clear" w:fill="auto"/>
        </w:rPr>
        <w:t>202</w:t>
      </w:r>
      <w:r>
        <w:rPr>
          <w:rFonts w:hint="eastAsia" w:ascii="仿宋_GB2312" w:hAnsi="仿宋_GB2312" w:eastAsia="仿宋_GB2312" w:cs="仿宋_GB2312"/>
          <w:kern w:val="0"/>
          <w:sz w:val="32"/>
          <w:szCs w:val="32"/>
          <w:shd w:val="clear" w:fill="auto"/>
        </w:rPr>
        <w:t>4</w:t>
      </w:r>
      <w:r>
        <w:rPr>
          <w:rFonts w:ascii="Times New Roman" w:hAnsi="Times New Roman" w:eastAsia="仿宋_GB2312" w:cs="Times New Roman"/>
          <w:kern w:val="0"/>
          <w:sz w:val="32"/>
          <w:szCs w:val="32"/>
          <w:shd w:val="clear" w:fill="auto"/>
        </w:rPr>
        <w:t>年度预测经济产出（供电量、供水量、</w:t>
      </w:r>
      <w:r>
        <w:rPr>
          <w:rFonts w:hint="eastAsia" w:ascii="Times New Roman" w:hAnsi="Times New Roman" w:eastAsia="仿宋_GB2312" w:cs="Times New Roman"/>
          <w:kern w:val="0"/>
          <w:sz w:val="32"/>
          <w:szCs w:val="32"/>
          <w:shd w:val="clear" w:fill="auto"/>
        </w:rPr>
        <w:t>天然气处理</w:t>
      </w:r>
      <w:r>
        <w:rPr>
          <w:rFonts w:ascii="Times New Roman" w:hAnsi="Times New Roman" w:eastAsia="仿宋_GB2312" w:cs="Times New Roman"/>
          <w:kern w:val="0"/>
          <w:sz w:val="32"/>
          <w:szCs w:val="32"/>
          <w:shd w:val="clear" w:fill="auto"/>
        </w:rPr>
        <w:t>量、载客里程、增加值等），结合其对应配额分配方法，</w:t>
      </w:r>
      <w:r>
        <w:rPr>
          <w:rFonts w:hint="eastAsia" w:ascii="Times New Roman" w:hAnsi="Times New Roman" w:eastAsia="仿宋_GB2312" w:cs="Times New Roman"/>
          <w:kern w:val="0"/>
          <w:sz w:val="32"/>
          <w:szCs w:val="32"/>
          <w:shd w:val="clear" w:fill="auto"/>
        </w:rPr>
        <w:t>按照预估配额数量</w:t>
      </w:r>
      <w:r>
        <w:rPr>
          <w:rFonts w:ascii="仿宋_GB2312" w:hAnsi="仿宋_GB2312" w:eastAsia="仿宋_GB2312" w:cs="仿宋_GB2312"/>
          <w:kern w:val="0"/>
          <w:sz w:val="32"/>
          <w:szCs w:val="32"/>
          <w:shd w:val="clear" w:fill="auto"/>
        </w:rPr>
        <w:t>70%</w:t>
      </w:r>
      <w:r>
        <w:rPr>
          <w:rFonts w:hint="eastAsia" w:ascii="Times New Roman" w:hAnsi="Times New Roman" w:eastAsia="仿宋_GB2312" w:cs="Times New Roman"/>
          <w:kern w:val="0"/>
          <w:sz w:val="32"/>
          <w:szCs w:val="32"/>
          <w:shd w:val="clear" w:fill="auto"/>
        </w:rPr>
        <w:t>的比例发放</w:t>
      </w:r>
      <w:r>
        <w:rPr>
          <w:rFonts w:ascii="仿宋_GB2312" w:hAnsi="仿宋_GB2312" w:eastAsia="仿宋_GB2312" w:cs="仿宋_GB2312"/>
          <w:kern w:val="0"/>
          <w:sz w:val="32"/>
          <w:szCs w:val="32"/>
          <w:shd w:val="clear" w:fill="auto"/>
        </w:rPr>
        <w:t>202</w:t>
      </w:r>
      <w:r>
        <w:rPr>
          <w:rFonts w:hint="eastAsia" w:ascii="仿宋_GB2312" w:hAnsi="仿宋_GB2312" w:eastAsia="仿宋_GB2312" w:cs="仿宋_GB2312"/>
          <w:kern w:val="0"/>
          <w:sz w:val="32"/>
          <w:szCs w:val="32"/>
          <w:shd w:val="clear" w:fill="auto"/>
        </w:rPr>
        <w:t>4</w:t>
      </w:r>
      <w:r>
        <w:rPr>
          <w:rFonts w:ascii="Times New Roman" w:hAnsi="Times New Roman" w:eastAsia="仿宋_GB2312" w:cs="Times New Roman"/>
          <w:kern w:val="0"/>
          <w:sz w:val="32"/>
          <w:szCs w:val="32"/>
          <w:shd w:val="clear" w:fill="auto"/>
        </w:rPr>
        <w:t>年度预分配配额。</w:t>
      </w:r>
    </w:p>
    <w:p>
      <w:pPr>
        <w:pStyle w:val="3"/>
        <w:spacing w:before="0" w:after="0" w:line="560" w:lineRule="exact"/>
        <w:ind w:firstLine="642" w:firstLineChars="200"/>
        <w:rPr>
          <w:rFonts w:ascii="楷体_GB2312" w:hAnsi="楷体_GB2312" w:eastAsia="楷体_GB2312" w:cs="楷体_GB2312"/>
          <w:kern w:val="0"/>
          <w:shd w:val="clear" w:fill="auto"/>
        </w:rPr>
      </w:pPr>
      <w:r>
        <w:rPr>
          <w:rFonts w:hint="eastAsia" w:ascii="楷体_GB2312" w:hAnsi="楷体_GB2312" w:eastAsia="楷体_GB2312" w:cs="楷体_GB2312"/>
          <w:kern w:val="0"/>
          <w:shd w:val="clear" w:fill="auto"/>
        </w:rPr>
        <w:t>（二）实际配额核定</w:t>
      </w:r>
    </w:p>
    <w:p>
      <w:pPr>
        <w:spacing w:after="0" w:line="560" w:lineRule="exact"/>
        <w:ind w:firstLine="640" w:firstLineChars="200"/>
        <w:rPr>
          <w:rFonts w:ascii="仿宋_GB2312" w:hAnsi="宋体" w:eastAsia="仿宋_GB2312" w:cs="仿宋_GB2312"/>
          <w:sz w:val="32"/>
          <w:szCs w:val="32"/>
          <w:shd w:val="clear" w:fill="auto"/>
        </w:rPr>
      </w:pPr>
      <w:r>
        <w:rPr>
          <w:rFonts w:hint="eastAsia" w:ascii="Times New Roman" w:hAnsi="Times New Roman" w:eastAsia="仿宋_GB2312" w:cs="Times New Roman"/>
          <w:kern w:val="0"/>
          <w:sz w:val="32"/>
          <w:szCs w:val="32"/>
          <w:shd w:val="clear" w:fill="auto"/>
        </w:rPr>
        <w:t>根据重点排放单位</w:t>
      </w:r>
      <w:r>
        <w:rPr>
          <w:rFonts w:ascii="仿宋_GB2312" w:hAnsi="仿宋_GB2312" w:eastAsia="仿宋_GB2312" w:cs="仿宋_GB2312"/>
          <w:kern w:val="0"/>
          <w:sz w:val="32"/>
          <w:szCs w:val="32"/>
          <w:shd w:val="clear" w:fill="auto"/>
        </w:rPr>
        <w:t>202</w:t>
      </w:r>
      <w:r>
        <w:rPr>
          <w:rFonts w:hint="eastAsia" w:ascii="仿宋_GB2312" w:hAnsi="仿宋_GB2312" w:eastAsia="仿宋_GB2312" w:cs="仿宋_GB2312"/>
          <w:kern w:val="0"/>
          <w:sz w:val="32"/>
          <w:szCs w:val="32"/>
          <w:shd w:val="clear" w:fill="auto"/>
        </w:rPr>
        <w:t>4</w:t>
      </w:r>
      <w:r>
        <w:rPr>
          <w:rFonts w:ascii="Times New Roman" w:hAnsi="Times New Roman" w:eastAsia="仿宋_GB2312" w:cs="Times New Roman"/>
          <w:kern w:val="0"/>
          <w:sz w:val="32"/>
          <w:szCs w:val="32"/>
          <w:shd w:val="clear" w:fill="auto"/>
        </w:rPr>
        <w:t>年度</w:t>
      </w:r>
      <w:r>
        <w:rPr>
          <w:rFonts w:hint="eastAsia" w:ascii="Times New Roman" w:hAnsi="Times New Roman" w:eastAsia="仿宋_GB2312" w:cs="Times New Roman"/>
          <w:kern w:val="0"/>
          <w:sz w:val="32"/>
          <w:szCs w:val="32"/>
          <w:shd w:val="clear" w:fill="auto"/>
        </w:rPr>
        <w:t>实际</w:t>
      </w:r>
      <w:r>
        <w:rPr>
          <w:rFonts w:ascii="Times New Roman" w:hAnsi="Times New Roman" w:eastAsia="仿宋_GB2312" w:cs="Times New Roman"/>
          <w:kern w:val="0"/>
          <w:sz w:val="32"/>
          <w:szCs w:val="32"/>
          <w:shd w:val="clear" w:fill="auto"/>
        </w:rPr>
        <w:t>经济产出</w:t>
      </w:r>
      <w:r>
        <w:rPr>
          <w:rFonts w:hint="eastAsia" w:ascii="Times New Roman" w:hAnsi="Times New Roman" w:eastAsia="仿宋_GB2312" w:cs="Times New Roman"/>
          <w:kern w:val="0"/>
          <w:sz w:val="32"/>
          <w:szCs w:val="32"/>
          <w:shd w:val="clear" w:fill="auto"/>
        </w:rPr>
        <w:t>统计指标</w:t>
      </w:r>
      <w:r>
        <w:rPr>
          <w:rFonts w:ascii="Times New Roman" w:hAnsi="Times New Roman" w:eastAsia="仿宋_GB2312" w:cs="Times New Roman"/>
          <w:kern w:val="0"/>
          <w:sz w:val="32"/>
          <w:szCs w:val="32"/>
          <w:shd w:val="clear" w:fill="auto"/>
        </w:rPr>
        <w:t>（供电量、供水量、</w:t>
      </w:r>
      <w:r>
        <w:rPr>
          <w:rFonts w:hint="eastAsia" w:ascii="Times New Roman" w:hAnsi="Times New Roman" w:eastAsia="仿宋_GB2312" w:cs="Times New Roman"/>
          <w:kern w:val="0"/>
          <w:sz w:val="32"/>
          <w:szCs w:val="32"/>
          <w:shd w:val="clear" w:fill="auto"/>
        </w:rPr>
        <w:t>天然气处理</w:t>
      </w:r>
      <w:r>
        <w:rPr>
          <w:rFonts w:ascii="Times New Roman" w:hAnsi="Times New Roman" w:eastAsia="仿宋_GB2312" w:cs="Times New Roman"/>
          <w:kern w:val="0"/>
          <w:sz w:val="32"/>
          <w:szCs w:val="32"/>
          <w:shd w:val="clear" w:fill="auto"/>
        </w:rPr>
        <w:t>量、载客里程</w:t>
      </w:r>
      <w:r>
        <w:rPr>
          <w:rFonts w:hint="eastAsia" w:ascii="Times New Roman" w:hAnsi="Times New Roman" w:eastAsia="仿宋_GB2312" w:cs="Times New Roman"/>
          <w:kern w:val="0"/>
          <w:sz w:val="32"/>
          <w:szCs w:val="32"/>
          <w:shd w:val="clear" w:fill="auto"/>
        </w:rPr>
        <w:t>、</w:t>
      </w:r>
      <w:r>
        <w:rPr>
          <w:rFonts w:ascii="Times New Roman" w:hAnsi="Times New Roman" w:eastAsia="仿宋_GB2312" w:cs="Times New Roman"/>
          <w:kern w:val="0"/>
          <w:sz w:val="32"/>
          <w:szCs w:val="32"/>
          <w:shd w:val="clear" w:fill="auto"/>
        </w:rPr>
        <w:t>增加值等）</w:t>
      </w:r>
      <w:r>
        <w:rPr>
          <w:rFonts w:hint="eastAsia" w:ascii="Times New Roman" w:hAnsi="Times New Roman" w:eastAsia="仿宋_GB2312" w:cs="Times New Roman"/>
          <w:kern w:val="0"/>
          <w:sz w:val="32"/>
          <w:szCs w:val="32"/>
          <w:shd w:val="clear" w:fill="auto"/>
        </w:rPr>
        <w:t>，结合其对应配额分配方法、</w:t>
      </w:r>
      <w:r>
        <w:rPr>
          <w:rFonts w:hint="eastAsia" w:ascii="仿宋_GB2312" w:hAnsi="仿宋_GB2312" w:eastAsia="仿宋_GB2312" w:cs="仿宋_GB2312"/>
          <w:kern w:val="0"/>
          <w:sz w:val="32"/>
          <w:szCs w:val="32"/>
          <w:shd w:val="clear" w:fill="auto"/>
        </w:rPr>
        <w:t>配额上限约束及履约成本控制机制</w:t>
      </w:r>
      <w:r>
        <w:rPr>
          <w:rFonts w:hint="eastAsia" w:ascii="Times New Roman" w:hAnsi="Times New Roman" w:eastAsia="仿宋_GB2312" w:cs="Times New Roman"/>
          <w:kern w:val="0"/>
          <w:sz w:val="32"/>
          <w:szCs w:val="32"/>
          <w:shd w:val="clear" w:fill="auto"/>
        </w:rPr>
        <w:t>，核定重点排放单位应发放的年度实际配额数量。当重点排放单位年度实际配额数量与预分配配额数量存在偏差时，市生态环境主管部门将</w:t>
      </w:r>
      <w:r>
        <w:rPr>
          <w:rFonts w:hint="eastAsia" w:ascii="仿宋_GB2312" w:hAnsi="宋体" w:eastAsia="仿宋_GB2312" w:cs="仿宋_GB2312"/>
          <w:sz w:val="32"/>
          <w:szCs w:val="32"/>
          <w:shd w:val="clear" w:fill="auto"/>
        </w:rPr>
        <w:t>按照“多退少补”原则，对实际核定与预分配配额的差额部分予以收缴或补发。</w:t>
      </w:r>
    </w:p>
    <w:p>
      <w:pPr>
        <w:pStyle w:val="3"/>
        <w:spacing w:before="0" w:after="0" w:line="560" w:lineRule="exact"/>
        <w:ind w:firstLine="642" w:firstLineChars="200"/>
        <w:rPr>
          <w:rFonts w:ascii="楷体_GB2312" w:hAnsi="楷体_GB2312" w:eastAsia="楷体_GB2312" w:cs="楷体_GB2312"/>
          <w:kern w:val="0"/>
          <w:shd w:val="clear" w:fill="auto"/>
        </w:rPr>
      </w:pPr>
      <w:r>
        <w:rPr>
          <w:rFonts w:hint="eastAsia" w:ascii="楷体_GB2312" w:hAnsi="楷体_GB2312" w:eastAsia="楷体_GB2312" w:cs="楷体_GB2312"/>
          <w:kern w:val="0"/>
          <w:shd w:val="clear" w:fill="auto"/>
        </w:rPr>
        <w:t>（三）配额上限约束机制</w:t>
      </w:r>
    </w:p>
    <w:p>
      <w:pPr>
        <w:spacing w:after="0" w:line="560" w:lineRule="exact"/>
        <w:ind w:firstLine="640" w:firstLineChars="200"/>
        <w:rPr>
          <w:rFonts w:ascii="仿宋_GB2312" w:hAnsi="仿宋_GB2312" w:eastAsia="仿宋_GB2312" w:cs="仿宋_GB2312"/>
          <w:sz w:val="32"/>
          <w:szCs w:val="32"/>
          <w:shd w:val="clear" w:fill="auto"/>
        </w:rPr>
      </w:pPr>
      <w:r>
        <w:rPr>
          <w:rFonts w:hint="eastAsia" w:ascii="仿宋_GB2312" w:hAnsi="仿宋_GB2312" w:eastAsia="仿宋_GB2312" w:cs="仿宋_GB2312"/>
          <w:sz w:val="32"/>
          <w:szCs w:val="32"/>
          <w:shd w:val="clear" w:fill="auto"/>
        </w:rPr>
        <w:t>为贯彻落实国家碳达峰、碳中和工作部署，推动能耗“双控”向碳排放强度和总量“双控”转变，在实际配额核定时建立配额上限约束机制。</w:t>
      </w:r>
    </w:p>
    <w:p>
      <w:pPr>
        <w:widowControl/>
        <w:spacing w:after="0" w:line="560" w:lineRule="exact"/>
        <w:ind w:firstLine="620" w:firstLineChars="200"/>
        <w:rPr>
          <w:rFonts w:ascii="仿宋_GB2312" w:hAnsi="仿宋_GB2312" w:eastAsia="仿宋_GB2312" w:cs="仿宋_GB2312"/>
          <w:kern w:val="0"/>
          <w:sz w:val="31"/>
          <w:szCs w:val="31"/>
          <w:shd w:val="clear" w:fill="auto"/>
          <w:lang w:bidi="ar"/>
        </w:rPr>
      </w:pPr>
      <w:r>
        <w:rPr>
          <w:rFonts w:hint="eastAsia" w:ascii="仿宋_GB2312" w:hAnsi="仿宋_GB2312" w:eastAsia="仿宋_GB2312" w:cs="仿宋_GB2312"/>
          <w:kern w:val="0"/>
          <w:sz w:val="31"/>
          <w:szCs w:val="31"/>
          <w:shd w:val="clear" w:fill="auto"/>
          <w:lang w:bidi="ar"/>
        </w:rPr>
        <w:t>对于履约年度二氧化碳排放量10万吨（含）以上的重点碳排放单位，年度免费配额不高于年度实际排放量的120%。对于履约年度二氧化碳排放量10万吨以下的重点碳排放单位，年度免费配额不高于年度实际排放量2万吨。</w:t>
      </w:r>
    </w:p>
    <w:p>
      <w:pPr>
        <w:pStyle w:val="3"/>
        <w:spacing w:before="0" w:after="0" w:line="560" w:lineRule="exact"/>
        <w:ind w:firstLine="642" w:firstLineChars="200"/>
        <w:rPr>
          <w:rFonts w:ascii="楷体_GB2312" w:hAnsi="楷体_GB2312" w:eastAsia="楷体_GB2312" w:cs="楷体_GB2312"/>
          <w:kern w:val="0"/>
          <w:shd w:val="clear" w:fill="auto"/>
        </w:rPr>
      </w:pPr>
      <w:r>
        <w:rPr>
          <w:rFonts w:hint="eastAsia" w:ascii="楷体_GB2312" w:hAnsi="楷体_GB2312" w:eastAsia="楷体_GB2312" w:cs="楷体_GB2312"/>
          <w:kern w:val="0"/>
          <w:shd w:val="clear" w:fill="auto"/>
        </w:rPr>
        <w:t>（四）履约成本控制机制</w:t>
      </w:r>
    </w:p>
    <w:p>
      <w:pPr>
        <w:spacing w:after="0" w:line="560" w:lineRule="exact"/>
        <w:ind w:firstLine="640" w:firstLineChars="200"/>
        <w:rPr>
          <w:rFonts w:ascii="仿宋_GB2312" w:hAnsi="仿宋_GB2312" w:eastAsia="仿宋_GB2312" w:cs="仿宋_GB2312"/>
          <w:sz w:val="32"/>
          <w:szCs w:val="32"/>
          <w:shd w:val="clear" w:fill="auto"/>
        </w:rPr>
      </w:pPr>
      <w:r>
        <w:rPr>
          <w:rFonts w:hint="eastAsia" w:ascii="仿宋_GB2312" w:hAnsi="仿宋_GB2312" w:eastAsia="仿宋_GB2312" w:cs="仿宋_GB2312"/>
          <w:sz w:val="32"/>
          <w:szCs w:val="32"/>
          <w:shd w:val="clear" w:fill="auto"/>
        </w:rPr>
        <w:t>为降低配额过量短缺对重点排放单位履约成本影响，在实际配额核定时建立履约成本控制机制。</w:t>
      </w:r>
    </w:p>
    <w:p>
      <w:pPr>
        <w:widowControl/>
        <w:spacing w:after="0" w:line="560" w:lineRule="exact"/>
        <w:ind w:firstLine="620" w:firstLineChars="200"/>
        <w:rPr>
          <w:rFonts w:ascii="仿宋_GB2312" w:hAnsi="仿宋_GB2312" w:eastAsia="仿宋_GB2312" w:cs="仿宋_GB2312"/>
          <w:kern w:val="0"/>
          <w:sz w:val="31"/>
          <w:szCs w:val="31"/>
          <w:shd w:val="clear" w:fill="auto"/>
          <w:lang w:bidi="ar"/>
        </w:rPr>
      </w:pPr>
      <w:r>
        <w:rPr>
          <w:rFonts w:hint="eastAsia" w:ascii="仿宋_GB2312" w:hAnsi="仿宋_GB2312" w:eastAsia="仿宋_GB2312" w:cs="仿宋_GB2312"/>
          <w:kern w:val="0"/>
          <w:sz w:val="31"/>
          <w:szCs w:val="31"/>
          <w:shd w:val="clear" w:fill="auto"/>
          <w:lang w:bidi="ar"/>
        </w:rPr>
        <w:t>对于履约年度二氧化碳排放量10万吨（含）以上的重点排放单位，年度免费配额不低于年度实际排放量的80%。对于履约年度二氧化碳排放量10万吨以下的重点排放单位，年度免费配额不低于年度实际排放量2万吨。</w:t>
      </w:r>
    </w:p>
    <w:p>
      <w:pPr>
        <w:pStyle w:val="2"/>
        <w:spacing w:before="0" w:after="0" w:line="560" w:lineRule="exact"/>
        <w:ind w:firstLine="640" w:firstLineChars="200"/>
        <w:rPr>
          <w:rFonts w:ascii="黑体" w:hAnsi="黑体" w:eastAsia="黑体" w:cs="黑体"/>
          <w:b w:val="0"/>
          <w:bCs w:val="0"/>
          <w:kern w:val="2"/>
          <w:sz w:val="32"/>
          <w:szCs w:val="28"/>
          <w:shd w:val="clear" w:fill="auto"/>
        </w:rPr>
      </w:pPr>
      <w:r>
        <w:rPr>
          <w:rFonts w:hint="eastAsia" w:ascii="黑体" w:hAnsi="黑体" w:eastAsia="黑体" w:cs="黑体"/>
          <w:b w:val="0"/>
          <w:bCs w:val="0"/>
          <w:kern w:val="2"/>
          <w:sz w:val="32"/>
          <w:szCs w:val="28"/>
          <w:shd w:val="clear" w:fill="auto"/>
        </w:rPr>
        <w:t>四、</w:t>
      </w:r>
      <w:bookmarkStart w:id="4" w:name="_Hlk167870521"/>
      <w:r>
        <w:rPr>
          <w:rFonts w:hint="eastAsia" w:ascii="黑体" w:hAnsi="黑体" w:eastAsia="黑体" w:cs="黑体"/>
          <w:b w:val="0"/>
          <w:bCs w:val="0"/>
          <w:kern w:val="2"/>
          <w:sz w:val="32"/>
          <w:szCs w:val="28"/>
          <w:shd w:val="clear" w:fill="auto"/>
        </w:rPr>
        <w:t>新建项目储备配额分配和发放</w:t>
      </w:r>
      <w:bookmarkEnd w:id="4"/>
    </w:p>
    <w:p>
      <w:pPr>
        <w:spacing w:after="0" w:line="560" w:lineRule="exact"/>
        <w:ind w:firstLine="640" w:firstLineChars="200"/>
        <w:rPr>
          <w:rFonts w:ascii="仿宋_GB2312" w:hAnsi="仿宋_GB2312" w:eastAsia="仿宋_GB2312" w:cs="仿宋_GB2312"/>
          <w:kern w:val="0"/>
          <w:sz w:val="32"/>
          <w:szCs w:val="32"/>
          <w:shd w:val="clear" w:fill="auto"/>
        </w:rPr>
      </w:pPr>
      <w:r>
        <w:rPr>
          <w:rFonts w:hint="eastAsia" w:ascii="仿宋_GB2312" w:hAnsi="仿宋_GB2312" w:eastAsia="仿宋_GB2312" w:cs="仿宋_GB2312"/>
          <w:kern w:val="0"/>
          <w:sz w:val="32"/>
          <w:szCs w:val="32"/>
          <w:shd w:val="clear" w:fill="auto"/>
        </w:rPr>
        <w:t>重点排放单位新建固定资产投资项目年排放量达到三千吨二氧化碳当量的，应当向市生态环境主管部门申请发放新建项目储备配额。新建项目储备配额分配和发放方法详见附件4。</w:t>
      </w:r>
    </w:p>
    <w:p>
      <w:pPr>
        <w:pStyle w:val="2"/>
        <w:spacing w:before="0" w:after="0" w:line="560" w:lineRule="exact"/>
        <w:ind w:firstLine="640" w:firstLineChars="200"/>
        <w:rPr>
          <w:rFonts w:ascii="黑体" w:hAnsi="黑体" w:eastAsia="黑体" w:cs="黑体"/>
          <w:b w:val="0"/>
          <w:bCs w:val="0"/>
          <w:kern w:val="2"/>
          <w:sz w:val="32"/>
          <w:szCs w:val="28"/>
          <w:shd w:val="clear" w:fill="auto"/>
        </w:rPr>
      </w:pPr>
      <w:r>
        <w:rPr>
          <w:rFonts w:hint="eastAsia" w:ascii="黑体" w:hAnsi="黑体" w:eastAsia="黑体" w:cs="黑体"/>
          <w:b w:val="0"/>
          <w:bCs w:val="0"/>
          <w:kern w:val="2"/>
          <w:sz w:val="32"/>
          <w:szCs w:val="28"/>
          <w:shd w:val="clear" w:fill="auto"/>
        </w:rPr>
        <w:t>五、价格平抑储备配额发放</w:t>
      </w:r>
    </w:p>
    <w:p>
      <w:pPr>
        <w:widowControl/>
        <w:spacing w:after="0" w:line="560" w:lineRule="exact"/>
        <w:ind w:firstLine="640" w:firstLineChars="200"/>
        <w:rPr>
          <w:rFonts w:ascii="仿宋_GB2312" w:hAnsi="仿宋_GB2312" w:eastAsia="仿宋_GB2312" w:cs="仿宋_GB2312"/>
          <w:kern w:val="0"/>
          <w:sz w:val="32"/>
          <w:szCs w:val="32"/>
          <w:shd w:val="clear" w:fill="auto"/>
        </w:rPr>
      </w:pPr>
      <w:r>
        <w:rPr>
          <w:rFonts w:hint="eastAsia" w:ascii="仿宋_GB2312" w:hAnsi="仿宋_GB2312" w:eastAsia="仿宋_GB2312" w:cs="仿宋_GB2312"/>
          <w:kern w:val="0"/>
          <w:sz w:val="32"/>
          <w:szCs w:val="32"/>
          <w:shd w:val="clear" w:fill="auto"/>
        </w:rPr>
        <w:t>当深圳碳市场出现配额价格大幅上涨或市场流动配额数量过低的情形时，市生态环境主管部门可以释放价格平抑储备配额。价格平抑储备配额发放条件和方式详见附件5。</w:t>
      </w:r>
    </w:p>
    <w:p>
      <w:pPr>
        <w:pStyle w:val="2"/>
        <w:spacing w:before="0" w:after="0" w:line="560" w:lineRule="exact"/>
        <w:ind w:firstLine="640" w:firstLineChars="200"/>
        <w:rPr>
          <w:rFonts w:ascii="黑体" w:hAnsi="黑体" w:eastAsia="黑体" w:cs="黑体"/>
          <w:b w:val="0"/>
          <w:bCs w:val="0"/>
          <w:kern w:val="2"/>
          <w:sz w:val="32"/>
          <w:szCs w:val="28"/>
          <w:shd w:val="clear" w:fill="auto"/>
        </w:rPr>
      </w:pPr>
      <w:r>
        <w:rPr>
          <w:rFonts w:hint="eastAsia" w:ascii="黑体" w:hAnsi="黑体" w:eastAsia="黑体" w:cs="黑体"/>
          <w:b w:val="0"/>
          <w:bCs w:val="0"/>
          <w:kern w:val="2"/>
          <w:sz w:val="32"/>
          <w:szCs w:val="28"/>
          <w:shd w:val="clear" w:fill="auto"/>
        </w:rPr>
        <w:t>六、其他说明</w:t>
      </w:r>
    </w:p>
    <w:p>
      <w:pPr>
        <w:spacing w:after="0" w:line="560" w:lineRule="exact"/>
        <w:ind w:firstLine="640" w:firstLineChars="200"/>
        <w:rPr>
          <w:rFonts w:ascii="仿宋_GB2312" w:hAnsi="仿宋_GB2312" w:eastAsia="仿宋_GB2312" w:cs="仿宋_GB2312"/>
          <w:sz w:val="32"/>
          <w:szCs w:val="32"/>
          <w:shd w:val="clear" w:fill="auto"/>
        </w:rPr>
      </w:pPr>
      <w:r>
        <w:rPr>
          <w:rFonts w:hint="eastAsia" w:ascii="仿宋_GB2312" w:hAnsi="仿宋_GB2312" w:eastAsia="仿宋_GB2312" w:cs="仿宋_GB2312"/>
          <w:sz w:val="32"/>
          <w:szCs w:val="32"/>
          <w:shd w:val="clear" w:fill="auto"/>
        </w:rPr>
        <w:t>（一）按历史排放法分配的重点排放单位暂停运营</w:t>
      </w:r>
      <w:r>
        <w:rPr>
          <w:rFonts w:ascii="仿宋_GB2312" w:hAnsi="仿宋_GB2312" w:eastAsia="仿宋_GB2312" w:cs="仿宋_GB2312"/>
          <w:sz w:val="32"/>
          <w:szCs w:val="32"/>
          <w:shd w:val="clear" w:fill="auto"/>
        </w:rPr>
        <w:t>3个月及以上，原则上只发放</w:t>
      </w:r>
      <w:r>
        <w:rPr>
          <w:rFonts w:hint="eastAsia" w:ascii="仿宋_GB2312" w:hAnsi="仿宋_GB2312" w:eastAsia="仿宋_GB2312" w:cs="仿宋_GB2312"/>
          <w:sz w:val="32"/>
          <w:szCs w:val="32"/>
          <w:shd w:val="clear" w:fill="auto"/>
        </w:rPr>
        <w:t>重点排放单位运营期间</w:t>
      </w:r>
      <w:r>
        <w:rPr>
          <w:rFonts w:ascii="仿宋_GB2312" w:hAnsi="仿宋_GB2312" w:eastAsia="仿宋_GB2312" w:cs="仿宋_GB2312"/>
          <w:sz w:val="32"/>
          <w:szCs w:val="32"/>
          <w:shd w:val="clear" w:fill="auto"/>
        </w:rPr>
        <w:t>的配额，</w:t>
      </w:r>
      <w:r>
        <w:rPr>
          <w:rFonts w:hint="eastAsia" w:ascii="仿宋_GB2312" w:hAnsi="仿宋_GB2312" w:eastAsia="仿宋_GB2312" w:cs="仿宋_GB2312"/>
          <w:sz w:val="32"/>
          <w:szCs w:val="32"/>
          <w:shd w:val="clear" w:fill="auto"/>
        </w:rPr>
        <w:t>暂停运营</w:t>
      </w:r>
      <w:r>
        <w:rPr>
          <w:rFonts w:ascii="仿宋_GB2312" w:hAnsi="仿宋_GB2312" w:eastAsia="仿宋_GB2312" w:cs="仿宋_GB2312"/>
          <w:sz w:val="32"/>
          <w:szCs w:val="32"/>
          <w:shd w:val="clear" w:fill="auto"/>
        </w:rPr>
        <w:t>时间的配额经核实后将收回注销。</w:t>
      </w:r>
      <w:r>
        <w:rPr>
          <w:rFonts w:hint="eastAsia" w:ascii="仿宋_GB2312" w:hAnsi="仿宋_GB2312" w:eastAsia="仿宋_GB2312" w:cs="仿宋_GB2312"/>
          <w:sz w:val="32"/>
          <w:szCs w:val="32"/>
          <w:shd w:val="clear" w:fill="auto"/>
        </w:rPr>
        <w:t>存在上述情况的重点排放单位</w:t>
      </w:r>
      <w:r>
        <w:rPr>
          <w:rFonts w:ascii="仿宋_GB2312" w:hAnsi="仿宋_GB2312" w:eastAsia="仿宋_GB2312" w:cs="仿宋_GB2312"/>
          <w:sz w:val="32"/>
          <w:szCs w:val="32"/>
          <w:shd w:val="clear" w:fill="auto"/>
        </w:rPr>
        <w:t>应在2024年度碳排放报告中</w:t>
      </w:r>
      <w:r>
        <w:rPr>
          <w:rFonts w:hint="eastAsia" w:ascii="仿宋_GB2312" w:hAnsi="仿宋_GB2312" w:eastAsia="仿宋_GB2312" w:cs="仿宋_GB2312"/>
          <w:sz w:val="32"/>
          <w:szCs w:val="32"/>
          <w:shd w:val="clear" w:fill="auto"/>
        </w:rPr>
        <w:t>进行情况</w:t>
      </w:r>
      <w:r>
        <w:rPr>
          <w:rFonts w:ascii="仿宋_GB2312" w:hAnsi="仿宋_GB2312" w:eastAsia="仿宋_GB2312" w:cs="仿宋_GB2312"/>
          <w:sz w:val="32"/>
          <w:szCs w:val="32"/>
          <w:shd w:val="clear" w:fill="auto"/>
        </w:rPr>
        <w:t>说明。</w:t>
      </w:r>
    </w:p>
    <w:p>
      <w:pPr>
        <w:spacing w:after="0" w:line="560" w:lineRule="exact"/>
        <w:ind w:firstLine="640" w:firstLineChars="200"/>
        <w:rPr>
          <w:rFonts w:ascii="仿宋_GB2312" w:hAnsi="仿宋_GB2312" w:eastAsia="仿宋_GB2312" w:cs="仿宋_GB2312"/>
          <w:sz w:val="32"/>
          <w:szCs w:val="32"/>
          <w:shd w:val="clear" w:fill="auto"/>
        </w:rPr>
      </w:pPr>
      <w:bookmarkStart w:id="5" w:name="_Hlk167635306"/>
      <w:r>
        <w:rPr>
          <w:rFonts w:hint="eastAsia" w:ascii="仿宋_GB2312" w:hAnsi="仿宋_GB2312" w:eastAsia="仿宋_GB2312" w:cs="仿宋_GB2312"/>
          <w:sz w:val="32"/>
          <w:szCs w:val="32"/>
          <w:shd w:val="clear" w:fill="auto"/>
        </w:rPr>
        <w:t>（二）如新增重点排放单位的基准碳排放筛查年份，与其所处行业目标碳强度计算所使用的历史年份不一致的，原则上取实际筛查年份的加权平均碳强度计算目标碳强度值。</w:t>
      </w:r>
    </w:p>
    <w:bookmarkEnd w:id="5"/>
    <w:p>
      <w:pPr>
        <w:spacing w:after="0" w:line="560" w:lineRule="exact"/>
        <w:ind w:firstLine="640" w:firstLineChars="200"/>
        <w:rPr>
          <w:rFonts w:ascii="仿宋_GB2312" w:hAnsi="仿宋_GB2312" w:eastAsia="仿宋_GB2312" w:cs="仿宋_GB2312"/>
          <w:sz w:val="32"/>
          <w:szCs w:val="32"/>
          <w:shd w:val="clear" w:fill="auto"/>
        </w:rPr>
      </w:pPr>
      <w:r>
        <w:rPr>
          <w:rFonts w:hint="eastAsia" w:ascii="仿宋_GB2312" w:hAnsi="仿宋_GB2312" w:eastAsia="仿宋_GB2312" w:cs="仿宋_GB2312"/>
          <w:sz w:val="32"/>
          <w:szCs w:val="32"/>
          <w:shd w:val="clear" w:fill="auto"/>
        </w:rPr>
        <w:t>（三）重点排放单位转变为总部经济等情形时，根据其生产经营实际情况选择采用历史产量强度法、历史增加值强度法、历史排放法或其组合方法进行配额分配。</w:t>
      </w:r>
    </w:p>
    <w:p>
      <w:pPr>
        <w:spacing w:after="0" w:line="560" w:lineRule="exact"/>
        <w:ind w:firstLine="640" w:firstLineChars="200"/>
        <w:rPr>
          <w:rFonts w:ascii="仿宋_GB2312" w:hAnsi="仿宋_GB2312" w:eastAsia="仿宋_GB2312" w:cs="仿宋_GB2312"/>
          <w:sz w:val="32"/>
          <w:szCs w:val="32"/>
          <w:shd w:val="clear" w:fill="auto"/>
        </w:rPr>
      </w:pPr>
      <w:r>
        <w:rPr>
          <w:rFonts w:hint="eastAsia" w:ascii="仿宋_GB2312" w:hAnsi="仿宋_GB2312" w:eastAsia="仿宋_GB2312" w:cs="仿宋_GB2312"/>
          <w:sz w:val="32"/>
          <w:szCs w:val="32"/>
          <w:shd w:val="clear" w:fill="auto"/>
        </w:rPr>
        <w:t>（四）配额短缺的重点排放单位可使用</w:t>
      </w:r>
      <w:r>
        <w:rPr>
          <w:rFonts w:ascii="仿宋_GB2312" w:hAnsi="仿宋_GB2312" w:eastAsia="仿宋_GB2312" w:cs="仿宋_GB2312"/>
          <w:sz w:val="32"/>
          <w:szCs w:val="32"/>
          <w:shd w:val="clear" w:fill="auto"/>
        </w:rPr>
        <w:t>2024年度通过市场化手段购买的绿电核减其超额碳排放量，具体核减方案详见附件</w:t>
      </w:r>
      <w:r>
        <w:rPr>
          <w:rFonts w:hint="eastAsia" w:ascii="仿宋_GB2312" w:hAnsi="仿宋_GB2312" w:eastAsia="仿宋_GB2312" w:cs="仿宋_GB2312"/>
          <w:sz w:val="32"/>
          <w:szCs w:val="32"/>
          <w:shd w:val="clear" w:fill="auto"/>
        </w:rPr>
        <w:t>6</w:t>
      </w:r>
      <w:r>
        <w:rPr>
          <w:rFonts w:ascii="仿宋_GB2312" w:hAnsi="仿宋_GB2312" w:eastAsia="仿宋_GB2312" w:cs="仿宋_GB2312"/>
          <w:sz w:val="32"/>
          <w:szCs w:val="32"/>
          <w:shd w:val="clear" w:fill="auto"/>
        </w:rPr>
        <w:t>。</w:t>
      </w:r>
    </w:p>
    <w:p>
      <w:pPr>
        <w:spacing w:after="0" w:line="560" w:lineRule="exact"/>
        <w:ind w:firstLine="640" w:firstLineChars="200"/>
        <w:rPr>
          <w:rFonts w:ascii="仿宋_GB2312" w:hAnsi="仿宋_GB2312" w:eastAsia="仿宋_GB2312" w:cs="仿宋_GB2312"/>
          <w:sz w:val="32"/>
          <w:szCs w:val="32"/>
          <w:shd w:val="clear" w:fill="auto"/>
        </w:rPr>
      </w:pPr>
    </w:p>
    <w:p>
      <w:pPr>
        <w:pStyle w:val="2"/>
        <w:spacing w:before="0" w:after="0" w:line="560" w:lineRule="exact"/>
        <w:ind w:left="1916" w:leftChars="303" w:hanging="1280" w:hangingChars="400"/>
        <w:rPr>
          <w:rFonts w:ascii="仿宋_GB2312" w:hAnsi="仿宋_GB2312" w:eastAsia="仿宋_GB2312" w:cs="仿宋_GB2312"/>
          <w:b w:val="0"/>
          <w:bCs w:val="0"/>
          <w:kern w:val="2"/>
          <w:sz w:val="32"/>
          <w:szCs w:val="32"/>
          <w:shd w:val="clear" w:fill="auto"/>
        </w:rPr>
      </w:pPr>
      <w:r>
        <w:rPr>
          <w:rFonts w:hint="eastAsia" w:ascii="仿宋_GB2312" w:hAnsi="仿宋_GB2312" w:eastAsia="仿宋_GB2312" w:cs="仿宋_GB2312"/>
          <w:b w:val="0"/>
          <w:bCs w:val="0"/>
          <w:kern w:val="2"/>
          <w:sz w:val="32"/>
          <w:szCs w:val="32"/>
          <w:shd w:val="clear" w:fill="auto"/>
        </w:rPr>
        <w:t>附件：1.2024年度供电、供气、供水行业基准碳强度及调控因子设定</w:t>
      </w:r>
    </w:p>
    <w:p>
      <w:pPr>
        <w:pStyle w:val="2"/>
        <w:spacing w:before="0" w:after="0" w:line="560" w:lineRule="exact"/>
        <w:ind w:left="1914" w:leftChars="759" w:hanging="320" w:hangingChars="100"/>
        <w:rPr>
          <w:rFonts w:ascii="仿宋_GB2312" w:hAnsi="仿宋_GB2312" w:eastAsia="仿宋_GB2312" w:cs="仿宋_GB2312"/>
          <w:b w:val="0"/>
          <w:bCs w:val="0"/>
          <w:kern w:val="2"/>
          <w:sz w:val="32"/>
          <w:szCs w:val="32"/>
          <w:shd w:val="clear" w:fill="auto"/>
        </w:rPr>
      </w:pPr>
      <w:r>
        <w:rPr>
          <w:rFonts w:hint="eastAsia" w:ascii="仿宋_GB2312" w:hAnsi="仿宋_GB2312" w:eastAsia="仿宋_GB2312" w:cs="仿宋_GB2312"/>
          <w:b w:val="0"/>
          <w:bCs w:val="0"/>
          <w:kern w:val="2"/>
          <w:sz w:val="32"/>
          <w:szCs w:val="32"/>
          <w:shd w:val="clear" w:fill="auto"/>
        </w:rPr>
        <w:t>2.2024年度公交、地铁、危险废物处理等行业重点排放单位目标碳强度设定</w:t>
      </w:r>
    </w:p>
    <w:p>
      <w:pPr>
        <w:pStyle w:val="2"/>
        <w:spacing w:before="0" w:after="0" w:line="560" w:lineRule="exact"/>
        <w:ind w:left="1914" w:leftChars="759" w:hanging="320" w:hangingChars="100"/>
        <w:rPr>
          <w:rFonts w:ascii="仿宋_GB2312" w:hAnsi="仿宋_GB2312" w:eastAsia="仿宋_GB2312" w:cs="仿宋_GB2312"/>
          <w:b w:val="0"/>
          <w:bCs w:val="0"/>
          <w:kern w:val="2"/>
          <w:sz w:val="32"/>
          <w:szCs w:val="32"/>
          <w:shd w:val="clear" w:fill="auto"/>
        </w:rPr>
      </w:pPr>
      <w:r>
        <w:rPr>
          <w:rFonts w:hint="eastAsia" w:ascii="仿宋_GB2312" w:hAnsi="仿宋_GB2312" w:eastAsia="仿宋_GB2312" w:cs="仿宋_GB2312"/>
          <w:b w:val="0"/>
          <w:bCs w:val="0"/>
          <w:kern w:val="2"/>
          <w:sz w:val="32"/>
          <w:szCs w:val="32"/>
          <w:shd w:val="clear" w:fill="auto"/>
        </w:rPr>
        <w:t>3.2024年度制造业及其他行业重点排放单位目标碳强度设定</w:t>
      </w:r>
    </w:p>
    <w:p>
      <w:pPr>
        <w:pStyle w:val="2"/>
        <w:spacing w:before="0" w:after="0" w:line="560" w:lineRule="exact"/>
        <w:ind w:left="1914" w:leftChars="759" w:hanging="320" w:hangingChars="100"/>
        <w:rPr>
          <w:rFonts w:ascii="仿宋_GB2312" w:hAnsi="仿宋_GB2312" w:eastAsia="仿宋_GB2312" w:cs="仿宋_GB2312"/>
          <w:b w:val="0"/>
          <w:bCs w:val="0"/>
          <w:kern w:val="2"/>
          <w:sz w:val="32"/>
          <w:szCs w:val="32"/>
          <w:shd w:val="clear" w:fill="auto"/>
        </w:rPr>
      </w:pPr>
      <w:r>
        <w:rPr>
          <w:rFonts w:hint="eastAsia" w:ascii="仿宋_GB2312" w:hAnsi="仿宋_GB2312" w:eastAsia="仿宋_GB2312" w:cs="仿宋_GB2312"/>
          <w:b w:val="0"/>
          <w:bCs w:val="0"/>
          <w:kern w:val="2"/>
          <w:sz w:val="32"/>
          <w:szCs w:val="32"/>
          <w:shd w:val="clear" w:fill="auto"/>
        </w:rPr>
        <w:t>4.新建项目储备配额发放方法</w:t>
      </w:r>
    </w:p>
    <w:p>
      <w:pPr>
        <w:pStyle w:val="2"/>
        <w:spacing w:before="0" w:after="0" w:line="560" w:lineRule="exact"/>
        <w:ind w:left="1914" w:leftChars="759" w:hanging="320" w:hangingChars="100"/>
        <w:rPr>
          <w:rFonts w:ascii="仿宋_GB2312" w:hAnsi="仿宋_GB2312" w:eastAsia="仿宋_GB2312" w:cs="仿宋_GB2312"/>
          <w:b w:val="0"/>
          <w:bCs w:val="0"/>
          <w:kern w:val="2"/>
          <w:sz w:val="32"/>
          <w:szCs w:val="32"/>
          <w:shd w:val="clear" w:fill="auto"/>
        </w:rPr>
      </w:pPr>
      <w:r>
        <w:rPr>
          <w:rFonts w:hint="eastAsia" w:ascii="仿宋_GB2312" w:hAnsi="仿宋_GB2312" w:eastAsia="仿宋_GB2312" w:cs="仿宋_GB2312"/>
          <w:b w:val="0"/>
          <w:bCs w:val="0"/>
          <w:kern w:val="2"/>
          <w:sz w:val="32"/>
          <w:szCs w:val="32"/>
          <w:shd w:val="clear" w:fill="auto"/>
        </w:rPr>
        <w:t>5.价格平抑储备配额发放方法</w:t>
      </w:r>
    </w:p>
    <w:p>
      <w:pPr>
        <w:pStyle w:val="2"/>
        <w:spacing w:before="0" w:after="0" w:line="560" w:lineRule="exact"/>
        <w:ind w:left="1914" w:leftChars="759" w:hanging="320" w:hangingChars="100"/>
        <w:rPr>
          <w:rFonts w:ascii="仿宋_GB2312" w:hAnsi="仿宋_GB2312" w:eastAsia="仿宋_GB2312" w:cs="仿宋_GB2312"/>
          <w:sz w:val="32"/>
          <w:szCs w:val="32"/>
          <w:shd w:val="clear" w:fill="auto"/>
        </w:rPr>
      </w:pPr>
      <w:r>
        <w:rPr>
          <w:rFonts w:hint="eastAsia" w:ascii="仿宋_GB2312" w:hAnsi="仿宋_GB2312" w:eastAsia="仿宋_GB2312" w:cs="仿宋_GB2312"/>
          <w:b w:val="0"/>
          <w:bCs w:val="0"/>
          <w:kern w:val="2"/>
          <w:sz w:val="32"/>
          <w:szCs w:val="32"/>
          <w:shd w:val="clear" w:fill="auto"/>
        </w:rPr>
        <w:t>6.碳市场绿电碳排放核减方法</w:t>
      </w:r>
    </w:p>
    <w:p>
      <w:pPr>
        <w:spacing w:line="600" w:lineRule="exact"/>
        <w:rPr>
          <w:rFonts w:ascii="仿宋_GB2312" w:hAnsi="仿宋_GB2312" w:eastAsia="仿宋_GB2312" w:cs="仿宋_GB2312"/>
          <w:sz w:val="32"/>
          <w:szCs w:val="32"/>
          <w:shd w:val="clear" w:fill="auto"/>
        </w:rPr>
      </w:pPr>
    </w:p>
    <w:p>
      <w:pPr>
        <w:spacing w:line="600" w:lineRule="exact"/>
        <w:rPr>
          <w:rFonts w:ascii="仿宋_GB2312" w:hAnsi="仿宋_GB2312" w:eastAsia="仿宋_GB2312" w:cs="仿宋_GB2312"/>
          <w:sz w:val="32"/>
          <w:szCs w:val="32"/>
          <w:shd w:val="clear" w:fill="auto"/>
        </w:rPr>
      </w:pPr>
    </w:p>
    <w:p>
      <w:pPr>
        <w:spacing w:line="600" w:lineRule="exact"/>
        <w:rPr>
          <w:rFonts w:ascii="仿宋_GB2312" w:hAnsi="仿宋_GB2312" w:eastAsia="仿宋_GB2312" w:cs="仿宋_GB2312"/>
          <w:sz w:val="32"/>
          <w:szCs w:val="32"/>
          <w:shd w:val="clear" w:fill="auto"/>
        </w:rPr>
      </w:pPr>
    </w:p>
    <w:p>
      <w:pPr>
        <w:spacing w:line="240" w:lineRule="auto"/>
        <w:rPr>
          <w:rFonts w:ascii="仿宋_GB2312" w:hAnsi="仿宋_GB2312" w:eastAsia="仿宋_GB2312" w:cs="仿宋_GB2312"/>
          <w:sz w:val="32"/>
          <w:szCs w:val="32"/>
          <w:shd w:val="clear" w:fill="auto"/>
        </w:rPr>
      </w:pPr>
      <w:r>
        <w:rPr>
          <w:rFonts w:hint="eastAsia" w:ascii="仿宋_GB2312" w:hAnsi="仿宋_GB2312" w:eastAsia="仿宋_GB2312" w:cs="仿宋_GB2312"/>
          <w:sz w:val="32"/>
          <w:szCs w:val="32"/>
          <w:shd w:val="clear" w:fill="auto"/>
        </w:rPr>
        <w:br w:type="page"/>
      </w:r>
    </w:p>
    <w:p>
      <w:pPr>
        <w:pStyle w:val="2"/>
        <w:spacing w:before="0" w:after="0" w:line="560" w:lineRule="exact"/>
        <w:rPr>
          <w:rFonts w:ascii="黑体" w:hAnsi="黑体" w:eastAsia="黑体" w:cs="黑体"/>
          <w:b w:val="0"/>
          <w:bCs w:val="0"/>
          <w:kern w:val="2"/>
          <w:sz w:val="32"/>
          <w:szCs w:val="28"/>
          <w:shd w:val="clear" w:fill="auto"/>
        </w:rPr>
      </w:pPr>
      <w:r>
        <w:rPr>
          <w:rFonts w:hint="eastAsia" w:ascii="黑体" w:hAnsi="黑体" w:eastAsia="黑体" w:cs="黑体"/>
          <w:b w:val="0"/>
          <w:bCs w:val="0"/>
          <w:kern w:val="2"/>
          <w:sz w:val="32"/>
          <w:szCs w:val="28"/>
          <w:shd w:val="clear" w:fill="auto"/>
        </w:rPr>
        <w:t>附件1</w:t>
      </w:r>
    </w:p>
    <w:p>
      <w:pPr>
        <w:spacing w:after="0" w:line="600" w:lineRule="exact"/>
        <w:rPr>
          <w:shd w:val="clear" w:fill="auto"/>
        </w:rPr>
      </w:pPr>
    </w:p>
    <w:p>
      <w:pPr>
        <w:spacing w:after="0" w:line="600" w:lineRule="exact"/>
        <w:jc w:val="center"/>
        <w:rPr>
          <w:rFonts w:ascii="方正小标宋简体" w:hAnsi="方正小标宋简体" w:eastAsia="方正小标宋简体" w:cs="方正小标宋简体"/>
          <w:sz w:val="44"/>
          <w:szCs w:val="44"/>
          <w:shd w:val="clear" w:fill="auto"/>
        </w:rPr>
      </w:pPr>
      <w:bookmarkStart w:id="6" w:name="_Hlk156899862"/>
      <w:r>
        <w:rPr>
          <w:rFonts w:ascii="方正小标宋简体" w:hAnsi="方正小标宋简体" w:eastAsia="方正小标宋简体" w:cs="方正小标宋简体"/>
          <w:sz w:val="44"/>
          <w:szCs w:val="44"/>
          <w:shd w:val="clear" w:fill="auto"/>
        </w:rPr>
        <w:t>2024年</w:t>
      </w:r>
      <w:bookmarkEnd w:id="6"/>
      <w:r>
        <w:rPr>
          <w:rFonts w:hint="eastAsia" w:ascii="方正小标宋简体" w:hAnsi="方正小标宋简体" w:eastAsia="方正小标宋简体" w:cs="方正小标宋简体"/>
          <w:sz w:val="44"/>
          <w:szCs w:val="44"/>
          <w:shd w:val="clear" w:fill="auto"/>
        </w:rPr>
        <w:t>度供电、供气、供水行业基准碳强度及调控因子设定</w:t>
      </w:r>
    </w:p>
    <w:tbl>
      <w:tblPr>
        <w:tblStyle w:val="7"/>
        <w:tblW w:w="8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8978" w:type="dxa"/>
            <w:vAlign w:val="center"/>
          </w:tcPr>
          <w:p>
            <w:pPr>
              <w:widowControl/>
              <w:numPr>
                <w:ilvl w:val="0"/>
                <w:numId w:val="1"/>
              </w:numPr>
              <w:spacing w:after="156" w:afterLines="50" w:line="560" w:lineRule="exact"/>
              <w:rPr>
                <w:rFonts w:ascii="黑体" w:hAnsi="黑体" w:eastAsia="黑体" w:cs="宋体"/>
                <w:bCs/>
                <w:kern w:val="0"/>
                <w:sz w:val="28"/>
                <w:szCs w:val="28"/>
                <w:shd w:val="clear" w:fill="auto"/>
              </w:rPr>
            </w:pPr>
            <w:r>
              <w:rPr>
                <w:rFonts w:hint="eastAsia" w:ascii="黑体" w:hAnsi="黑体" w:eastAsia="黑体" w:cs="宋体"/>
                <w:bCs/>
                <w:kern w:val="0"/>
                <w:sz w:val="28"/>
                <w:szCs w:val="28"/>
                <w:shd w:val="clear" w:fill="auto"/>
              </w:rPr>
              <w:t>供电行业</w:t>
            </w:r>
          </w:p>
          <w:p>
            <w:pPr>
              <w:widowControl/>
              <w:numPr>
                <w:ilvl w:val="255"/>
                <w:numId w:val="0"/>
              </w:numPr>
              <w:spacing w:after="156" w:afterLines="50" w:line="560" w:lineRule="exact"/>
              <w:rPr>
                <w:rFonts w:ascii="仿宋_GB2312" w:hAnsi="仿宋_GB2312" w:eastAsia="仿宋_GB2312" w:cs="仿宋_GB2312"/>
                <w:bCs/>
                <w:kern w:val="0"/>
                <w:sz w:val="28"/>
                <w:szCs w:val="28"/>
                <w:shd w:val="clear" w:fill="auto"/>
              </w:rPr>
            </w:pPr>
            <w:r>
              <w:rPr>
                <w:rFonts w:hint="eastAsia" w:ascii="楷体_GB2312" w:hAnsi="楷体_GB2312" w:eastAsia="楷体_GB2312" w:cs="楷体_GB2312"/>
                <w:b/>
                <w:kern w:val="0"/>
                <w:sz w:val="28"/>
                <w:szCs w:val="28"/>
                <w:shd w:val="clear" w:fill="auto"/>
              </w:rPr>
              <w:t>行业基准碳强度值：</w:t>
            </w:r>
            <w:r>
              <w:rPr>
                <w:rFonts w:ascii="仿宋_GB2312" w:hAnsi="仿宋_GB2312" w:eastAsia="仿宋_GB2312" w:cs="仿宋_GB2312"/>
                <w:bCs/>
                <w:kern w:val="0"/>
                <w:sz w:val="28"/>
                <w:szCs w:val="28"/>
                <w:shd w:val="clear" w:fill="auto"/>
              </w:rPr>
              <w:t xml:space="preserve">0.216 </w:t>
            </w:r>
            <w:r>
              <w:rPr>
                <w:rFonts w:hint="eastAsia" w:ascii="仿宋_GB2312" w:hAnsi="仿宋_GB2312" w:eastAsia="仿宋_GB2312" w:cs="仿宋_GB2312"/>
                <w:bCs/>
                <w:kern w:val="0"/>
                <w:sz w:val="28"/>
                <w:szCs w:val="28"/>
                <w:shd w:val="clear" w:fill="auto"/>
              </w:rPr>
              <w:t>吨</w:t>
            </w:r>
            <w:r>
              <w:rPr>
                <w:rFonts w:ascii="仿宋_GB2312" w:hAnsi="仿宋_GB2312" w:eastAsia="仿宋_GB2312" w:cs="仿宋_GB2312"/>
                <w:bCs/>
                <w:kern w:val="0"/>
                <w:sz w:val="28"/>
                <w:szCs w:val="28"/>
                <w:shd w:val="clear" w:fill="auto"/>
              </w:rPr>
              <w:t>/万千瓦时</w:t>
            </w:r>
            <w:r>
              <w:rPr>
                <w:rFonts w:hint="eastAsia" w:ascii="仿宋_GB2312" w:hAnsi="仿宋_GB2312" w:eastAsia="仿宋_GB2312" w:cs="仿宋_GB2312"/>
                <w:bCs/>
                <w:kern w:val="0"/>
                <w:sz w:val="28"/>
                <w:szCs w:val="28"/>
                <w:shd w:val="clear" w:fill="auto"/>
              </w:rPr>
              <w:t>。</w:t>
            </w:r>
          </w:p>
          <w:p>
            <w:pPr>
              <w:widowControl/>
              <w:numPr>
                <w:ilvl w:val="255"/>
                <w:numId w:val="0"/>
              </w:numPr>
              <w:spacing w:after="156" w:afterLines="50" w:line="560" w:lineRule="exact"/>
              <w:rPr>
                <w:rFonts w:ascii="仿宋_GB2312" w:hAnsi="黑体" w:eastAsia="仿宋_GB2312" w:cs="宋体"/>
                <w:bCs/>
                <w:kern w:val="0"/>
                <w:sz w:val="28"/>
                <w:szCs w:val="28"/>
                <w:shd w:val="clear" w:fill="auto"/>
              </w:rPr>
            </w:pPr>
            <w:r>
              <w:rPr>
                <w:rFonts w:hint="eastAsia" w:ascii="楷体_GB2312" w:hAnsi="楷体_GB2312" w:eastAsia="楷体_GB2312" w:cs="楷体_GB2312"/>
                <w:b/>
                <w:kern w:val="0"/>
                <w:sz w:val="28"/>
                <w:szCs w:val="28"/>
                <w:shd w:val="clear" w:fill="auto"/>
              </w:rPr>
              <w:t>重点排放单位供电调控因子：</w:t>
            </w:r>
            <w:r>
              <w:rPr>
                <w:rFonts w:hint="eastAsia" w:ascii="仿宋_GB2312" w:hAnsi="仿宋_GB2312" w:eastAsia="仿宋_GB2312" w:cs="仿宋_GB2312"/>
                <w:bCs/>
                <w:kern w:val="0"/>
                <w:sz w:val="28"/>
                <w:szCs w:val="28"/>
                <w:shd w:val="clear" w:fill="auto"/>
              </w:rPr>
              <w:t>供电服务覆盖深圳</w:t>
            </w:r>
            <w:r>
              <w:rPr>
                <w:rFonts w:ascii="仿宋_GB2312" w:hAnsi="仿宋_GB2312" w:eastAsia="仿宋_GB2312" w:cs="仿宋_GB2312"/>
                <w:bCs/>
                <w:kern w:val="0"/>
                <w:sz w:val="28"/>
                <w:szCs w:val="28"/>
                <w:shd w:val="clear" w:fill="auto"/>
              </w:rPr>
              <w:t>3个以上</w:t>
            </w:r>
            <w:r>
              <w:rPr>
                <w:rFonts w:hint="eastAsia" w:ascii="仿宋_GB2312" w:hAnsi="仿宋_GB2312" w:eastAsia="仿宋_GB2312" w:cs="仿宋_GB2312"/>
                <w:bCs/>
                <w:kern w:val="0"/>
                <w:sz w:val="28"/>
                <w:szCs w:val="28"/>
                <w:shd w:val="clear" w:fill="auto"/>
              </w:rPr>
              <w:t>（含3个）市辖区或功能区的重点排放单位，供电调控因子取</w:t>
            </w:r>
            <w:r>
              <w:rPr>
                <w:rFonts w:ascii="仿宋_GB2312" w:hAnsi="仿宋_GB2312" w:eastAsia="仿宋_GB2312" w:cs="仿宋_GB2312"/>
                <w:bCs/>
                <w:kern w:val="0"/>
                <w:sz w:val="28"/>
                <w:szCs w:val="28"/>
                <w:shd w:val="clear" w:fill="auto"/>
              </w:rPr>
              <w:t>1</w:t>
            </w:r>
            <w:r>
              <w:rPr>
                <w:rFonts w:hint="eastAsia" w:ascii="仿宋_GB2312" w:hAnsi="仿宋_GB2312" w:eastAsia="仿宋_GB2312" w:cs="仿宋_GB2312"/>
                <w:bCs/>
                <w:kern w:val="0"/>
                <w:sz w:val="28"/>
                <w:szCs w:val="28"/>
                <w:shd w:val="clear" w:fill="auto"/>
              </w:rPr>
              <w:t>；其他情形取</w:t>
            </w:r>
            <w:r>
              <w:rPr>
                <w:rFonts w:ascii="仿宋_GB2312" w:hAnsi="仿宋_GB2312" w:eastAsia="仿宋_GB2312" w:cs="仿宋_GB2312"/>
                <w:bCs/>
                <w:kern w:val="0"/>
                <w:sz w:val="28"/>
                <w:szCs w:val="28"/>
                <w:shd w:val="clear" w:fill="auto"/>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978" w:type="dxa"/>
            <w:vAlign w:val="center"/>
          </w:tcPr>
          <w:p>
            <w:pPr>
              <w:widowControl/>
              <w:numPr>
                <w:ilvl w:val="0"/>
                <w:numId w:val="1"/>
              </w:numPr>
              <w:spacing w:after="156" w:afterLines="50" w:line="560" w:lineRule="exact"/>
              <w:rPr>
                <w:rFonts w:ascii="黑体" w:hAnsi="黑体" w:eastAsia="黑体" w:cs="宋体"/>
                <w:bCs/>
                <w:kern w:val="0"/>
                <w:sz w:val="28"/>
                <w:szCs w:val="28"/>
                <w:shd w:val="clear" w:fill="auto"/>
              </w:rPr>
            </w:pPr>
            <w:r>
              <w:rPr>
                <w:rFonts w:hint="eastAsia" w:ascii="黑体" w:hAnsi="黑体" w:eastAsia="黑体" w:cs="宋体"/>
                <w:bCs/>
                <w:kern w:val="0"/>
                <w:sz w:val="28"/>
                <w:szCs w:val="28"/>
                <w:shd w:val="clear" w:fill="auto"/>
              </w:rPr>
              <w:t>供水行业</w:t>
            </w:r>
          </w:p>
          <w:p>
            <w:pPr>
              <w:widowControl/>
              <w:numPr>
                <w:ilvl w:val="255"/>
                <w:numId w:val="0"/>
              </w:numPr>
              <w:spacing w:after="156" w:afterLines="50" w:line="560" w:lineRule="exact"/>
              <w:rPr>
                <w:rFonts w:ascii="仿宋_GB2312" w:hAnsi="仿宋_GB2312" w:eastAsia="仿宋_GB2312" w:cs="仿宋_GB2312"/>
                <w:bCs/>
                <w:kern w:val="0"/>
                <w:sz w:val="28"/>
                <w:szCs w:val="28"/>
                <w:shd w:val="clear" w:fill="auto"/>
              </w:rPr>
            </w:pPr>
            <w:r>
              <w:rPr>
                <w:rFonts w:hint="eastAsia" w:ascii="楷体_GB2312" w:hAnsi="楷体_GB2312" w:eastAsia="楷体_GB2312" w:cs="楷体_GB2312"/>
                <w:b/>
                <w:kern w:val="0"/>
                <w:sz w:val="28"/>
                <w:szCs w:val="28"/>
                <w:shd w:val="clear" w:fill="auto"/>
              </w:rPr>
              <w:t>行业基准碳强度值：</w:t>
            </w:r>
            <w:r>
              <w:rPr>
                <w:rFonts w:ascii="仿宋_GB2312" w:hAnsi="仿宋_GB2312" w:eastAsia="仿宋_GB2312" w:cs="仿宋_GB2312"/>
                <w:bCs/>
                <w:kern w:val="0"/>
                <w:sz w:val="28"/>
                <w:szCs w:val="28"/>
                <w:shd w:val="clear" w:fill="auto"/>
              </w:rPr>
              <w:t>1.805吨/万立方米自来水</w:t>
            </w:r>
            <w:r>
              <w:rPr>
                <w:rFonts w:hint="eastAsia" w:ascii="仿宋_GB2312" w:hAnsi="仿宋_GB2312" w:eastAsia="仿宋_GB2312" w:cs="仿宋_GB2312"/>
                <w:bCs/>
                <w:kern w:val="0"/>
                <w:sz w:val="28"/>
                <w:szCs w:val="28"/>
                <w:shd w:val="clear" w:fill="auto"/>
              </w:rPr>
              <w:t>。</w:t>
            </w:r>
          </w:p>
          <w:p>
            <w:pPr>
              <w:widowControl/>
              <w:numPr>
                <w:ilvl w:val="255"/>
                <w:numId w:val="0"/>
              </w:numPr>
              <w:spacing w:after="156" w:afterLines="50" w:line="560" w:lineRule="exact"/>
              <w:rPr>
                <w:rFonts w:ascii="楷体_GB2312" w:hAnsi="楷体_GB2312" w:eastAsia="楷体_GB2312" w:cs="楷体_GB2312"/>
                <w:b/>
                <w:kern w:val="0"/>
                <w:sz w:val="28"/>
                <w:szCs w:val="28"/>
                <w:shd w:val="clear" w:fill="auto"/>
              </w:rPr>
            </w:pPr>
            <w:r>
              <w:rPr>
                <w:rFonts w:hint="eastAsia" w:ascii="楷体_GB2312" w:hAnsi="楷体_GB2312" w:eastAsia="楷体_GB2312" w:cs="楷体_GB2312"/>
                <w:b/>
                <w:kern w:val="0"/>
                <w:sz w:val="28"/>
                <w:szCs w:val="28"/>
                <w:shd w:val="clear" w:fill="auto"/>
              </w:rPr>
              <w:t>重点排放单位供水调控因子：</w:t>
            </w:r>
          </w:p>
          <w:p>
            <w:pPr>
              <w:widowControl/>
              <w:numPr>
                <w:ilvl w:val="255"/>
                <w:numId w:val="0"/>
              </w:numPr>
              <w:spacing w:after="156" w:afterLines="50" w:line="560" w:lineRule="exact"/>
              <w:rPr>
                <w:rFonts w:ascii="仿宋_GB2312" w:hAnsi="仿宋_GB2312" w:eastAsia="仿宋_GB2312" w:cs="仿宋_GB2312"/>
                <w:bCs/>
                <w:kern w:val="0"/>
                <w:sz w:val="28"/>
                <w:szCs w:val="28"/>
                <w:shd w:val="clear" w:fill="auto"/>
              </w:rPr>
            </w:pPr>
            <w:r>
              <w:rPr>
                <w:rFonts w:hint="eastAsia" w:ascii="仿宋_GB2312" w:hAnsi="仿宋_GB2312" w:eastAsia="仿宋_GB2312" w:cs="仿宋_GB2312"/>
                <w:bCs/>
                <w:kern w:val="0"/>
                <w:sz w:val="28"/>
                <w:szCs w:val="28"/>
                <w:shd w:val="clear" w:fill="auto"/>
              </w:rPr>
              <w:t>1.原水调度距离</w:t>
            </w:r>
            <w:r>
              <w:rPr>
                <w:rFonts w:ascii="仿宋_GB2312" w:hAnsi="仿宋_GB2312" w:eastAsia="仿宋_GB2312" w:cs="仿宋_GB2312"/>
                <w:bCs/>
                <w:kern w:val="0"/>
                <w:sz w:val="28"/>
                <w:szCs w:val="28"/>
                <w:shd w:val="clear" w:fill="auto"/>
              </w:rPr>
              <w:t>3千米及以上、深度处理设计规模60万吨/天及以上的</w:t>
            </w:r>
            <w:r>
              <w:rPr>
                <w:rFonts w:hint="eastAsia" w:ascii="仿宋_GB2312" w:hAnsi="仿宋_GB2312" w:eastAsia="仿宋_GB2312" w:cs="仿宋_GB2312"/>
                <w:bCs/>
                <w:kern w:val="0"/>
                <w:sz w:val="28"/>
                <w:szCs w:val="28"/>
                <w:shd w:val="clear" w:fill="auto"/>
              </w:rPr>
              <w:t>重点排放单位，供水调控因子取</w:t>
            </w:r>
            <w:r>
              <w:rPr>
                <w:rFonts w:ascii="仿宋_GB2312" w:hAnsi="仿宋_GB2312" w:eastAsia="仿宋_GB2312" w:cs="仿宋_GB2312"/>
                <w:bCs/>
                <w:kern w:val="0"/>
                <w:sz w:val="28"/>
                <w:szCs w:val="28"/>
                <w:shd w:val="clear" w:fill="auto"/>
              </w:rPr>
              <w:t>1.05；</w:t>
            </w:r>
          </w:p>
          <w:p>
            <w:pPr>
              <w:widowControl/>
              <w:numPr>
                <w:ilvl w:val="255"/>
                <w:numId w:val="0"/>
              </w:numPr>
              <w:spacing w:after="156" w:afterLines="50" w:line="560" w:lineRule="exact"/>
              <w:rPr>
                <w:rFonts w:ascii="仿宋_GB2312" w:hAnsi="仿宋_GB2312" w:eastAsia="仿宋_GB2312" w:cs="仿宋_GB2312"/>
                <w:bCs/>
                <w:kern w:val="0"/>
                <w:sz w:val="28"/>
                <w:szCs w:val="28"/>
                <w:shd w:val="clear" w:fill="auto"/>
              </w:rPr>
            </w:pPr>
            <w:r>
              <w:rPr>
                <w:rFonts w:hint="eastAsia" w:ascii="仿宋_GB2312" w:hAnsi="仿宋_GB2312" w:eastAsia="仿宋_GB2312" w:cs="仿宋_GB2312"/>
                <w:bCs/>
                <w:kern w:val="0"/>
                <w:sz w:val="28"/>
                <w:szCs w:val="28"/>
                <w:shd w:val="clear" w:fill="auto"/>
              </w:rPr>
              <w:t>2.原水调度距离</w:t>
            </w:r>
            <w:r>
              <w:rPr>
                <w:rFonts w:ascii="仿宋_GB2312" w:hAnsi="仿宋_GB2312" w:eastAsia="仿宋_GB2312" w:cs="仿宋_GB2312"/>
                <w:bCs/>
                <w:kern w:val="0"/>
                <w:sz w:val="28"/>
                <w:szCs w:val="28"/>
                <w:shd w:val="clear" w:fill="auto"/>
              </w:rPr>
              <w:t>3千米及以上、深度处理设计规模低于60万吨/天，或原水调度距离3千米以下、深度处理设计规模60万吨/天及以上的</w:t>
            </w:r>
            <w:r>
              <w:rPr>
                <w:rFonts w:hint="eastAsia" w:ascii="仿宋_GB2312" w:hAnsi="仿宋_GB2312" w:eastAsia="仿宋_GB2312" w:cs="仿宋_GB2312"/>
                <w:bCs/>
                <w:kern w:val="0"/>
                <w:sz w:val="28"/>
                <w:szCs w:val="28"/>
                <w:shd w:val="clear" w:fill="auto"/>
              </w:rPr>
              <w:t>重点排放单位，供水调控因子取</w:t>
            </w:r>
            <w:r>
              <w:rPr>
                <w:rFonts w:ascii="仿宋_GB2312" w:hAnsi="仿宋_GB2312" w:eastAsia="仿宋_GB2312" w:cs="仿宋_GB2312"/>
                <w:bCs/>
                <w:kern w:val="0"/>
                <w:sz w:val="28"/>
                <w:szCs w:val="28"/>
                <w:shd w:val="clear" w:fill="auto"/>
              </w:rPr>
              <w:t>1.02；</w:t>
            </w:r>
          </w:p>
          <w:p>
            <w:pPr>
              <w:widowControl/>
              <w:numPr>
                <w:ilvl w:val="255"/>
                <w:numId w:val="0"/>
              </w:numPr>
              <w:spacing w:after="156" w:afterLines="50" w:line="560" w:lineRule="exact"/>
              <w:rPr>
                <w:rFonts w:ascii="黑体" w:hAnsi="黑体" w:eastAsia="黑体" w:cs="宋体"/>
                <w:bCs/>
                <w:kern w:val="0"/>
                <w:sz w:val="28"/>
                <w:szCs w:val="28"/>
                <w:shd w:val="clear" w:fill="auto"/>
              </w:rPr>
            </w:pPr>
            <w:r>
              <w:rPr>
                <w:rFonts w:hint="eastAsia" w:ascii="仿宋_GB2312" w:hAnsi="仿宋_GB2312" w:eastAsia="仿宋_GB2312" w:cs="仿宋_GB2312"/>
                <w:bCs/>
                <w:kern w:val="0"/>
                <w:sz w:val="28"/>
                <w:szCs w:val="28"/>
                <w:shd w:val="clear" w:fill="auto"/>
              </w:rPr>
              <w:t>3.原水调度距离</w:t>
            </w:r>
            <w:r>
              <w:rPr>
                <w:rFonts w:ascii="仿宋_GB2312" w:hAnsi="仿宋_GB2312" w:eastAsia="仿宋_GB2312" w:cs="仿宋_GB2312"/>
                <w:bCs/>
                <w:kern w:val="0"/>
                <w:sz w:val="28"/>
                <w:szCs w:val="28"/>
                <w:shd w:val="clear" w:fill="auto"/>
              </w:rPr>
              <w:t>3千米以下、深度处理设计规模低于60万吨/天的</w:t>
            </w:r>
            <w:r>
              <w:rPr>
                <w:rFonts w:hint="eastAsia" w:ascii="仿宋_GB2312" w:hAnsi="仿宋_GB2312" w:eastAsia="仿宋_GB2312" w:cs="仿宋_GB2312"/>
                <w:bCs/>
                <w:kern w:val="0"/>
                <w:sz w:val="28"/>
                <w:szCs w:val="28"/>
                <w:shd w:val="clear" w:fill="auto"/>
              </w:rPr>
              <w:t>重点排放单位，供水调控因子取</w:t>
            </w:r>
            <w:r>
              <w:rPr>
                <w:rFonts w:ascii="仿宋_GB2312" w:hAnsi="仿宋_GB2312" w:eastAsia="仿宋_GB2312" w:cs="仿宋_GB2312"/>
                <w:bCs/>
                <w:kern w:val="0"/>
                <w:sz w:val="28"/>
                <w:szCs w:val="28"/>
                <w:shd w:val="clear" w:fill="auto"/>
              </w:rPr>
              <w:t>1</w:t>
            </w:r>
            <w:r>
              <w:rPr>
                <w:rFonts w:hint="eastAsia" w:ascii="仿宋_GB2312" w:hAnsi="仿宋_GB2312" w:eastAsia="仿宋_GB2312" w:cs="仿宋_GB2312"/>
                <w:bCs/>
                <w:kern w:val="0"/>
                <w:sz w:val="28"/>
                <w:szCs w:val="28"/>
                <w:shd w:val="clear" w:fil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978" w:type="dxa"/>
            <w:vAlign w:val="center"/>
          </w:tcPr>
          <w:p>
            <w:pPr>
              <w:widowControl/>
              <w:numPr>
                <w:ilvl w:val="0"/>
                <w:numId w:val="1"/>
              </w:numPr>
              <w:spacing w:after="156" w:afterLines="50" w:line="560" w:lineRule="exact"/>
              <w:rPr>
                <w:rFonts w:ascii="黑体" w:hAnsi="黑体" w:eastAsia="黑体" w:cs="宋体"/>
                <w:bCs/>
                <w:kern w:val="0"/>
                <w:sz w:val="28"/>
                <w:szCs w:val="28"/>
                <w:shd w:val="clear" w:fill="auto"/>
              </w:rPr>
            </w:pPr>
            <w:r>
              <w:rPr>
                <w:rFonts w:hint="eastAsia" w:ascii="黑体" w:hAnsi="黑体" w:eastAsia="黑体" w:cs="宋体"/>
                <w:bCs/>
                <w:kern w:val="0"/>
                <w:sz w:val="28"/>
                <w:szCs w:val="28"/>
                <w:shd w:val="clear" w:fill="auto"/>
              </w:rPr>
              <w:t>供气行业</w:t>
            </w:r>
          </w:p>
          <w:p>
            <w:pPr>
              <w:widowControl/>
              <w:numPr>
                <w:ilvl w:val="255"/>
                <w:numId w:val="0"/>
              </w:numPr>
              <w:spacing w:after="156" w:afterLines="50" w:line="560" w:lineRule="exact"/>
              <w:rPr>
                <w:rFonts w:ascii="仿宋_GB2312" w:hAnsi="仿宋_GB2312" w:eastAsia="仿宋_GB2312" w:cs="仿宋_GB2312"/>
                <w:bCs/>
                <w:kern w:val="0"/>
                <w:sz w:val="28"/>
                <w:szCs w:val="28"/>
                <w:shd w:val="clear" w:fill="auto"/>
              </w:rPr>
            </w:pPr>
            <w:r>
              <w:rPr>
                <w:rFonts w:hint="eastAsia" w:ascii="楷体_GB2312" w:hAnsi="楷体_GB2312" w:eastAsia="楷体_GB2312" w:cs="楷体_GB2312"/>
                <w:b/>
                <w:kern w:val="0"/>
                <w:sz w:val="28"/>
                <w:szCs w:val="28"/>
                <w:shd w:val="clear" w:fill="auto"/>
              </w:rPr>
              <w:t>行业基准碳强度值：</w:t>
            </w:r>
            <w:r>
              <w:rPr>
                <w:rFonts w:ascii="仿宋_GB2312" w:hAnsi="仿宋_GB2312" w:eastAsia="仿宋_GB2312" w:cs="仿宋_GB2312"/>
                <w:bCs/>
                <w:kern w:val="0"/>
                <w:sz w:val="28"/>
                <w:szCs w:val="28"/>
                <w:shd w:val="clear" w:fill="auto"/>
              </w:rPr>
              <w:t xml:space="preserve">124.103 </w:t>
            </w:r>
            <w:r>
              <w:rPr>
                <w:rFonts w:hint="eastAsia" w:ascii="仿宋_GB2312" w:hAnsi="仿宋_GB2312" w:eastAsia="仿宋_GB2312" w:cs="仿宋_GB2312"/>
                <w:bCs/>
                <w:kern w:val="0"/>
                <w:sz w:val="28"/>
                <w:szCs w:val="28"/>
                <w:shd w:val="clear" w:fill="auto"/>
              </w:rPr>
              <w:t>吨</w:t>
            </w:r>
            <w:r>
              <w:rPr>
                <w:rFonts w:ascii="仿宋_GB2312" w:hAnsi="仿宋_GB2312" w:eastAsia="仿宋_GB2312" w:cs="仿宋_GB2312"/>
                <w:bCs/>
                <w:kern w:val="0"/>
                <w:sz w:val="28"/>
                <w:szCs w:val="28"/>
                <w:shd w:val="clear" w:fill="auto"/>
              </w:rPr>
              <w:t>/万吨天然气处理量</w:t>
            </w:r>
            <w:r>
              <w:rPr>
                <w:rFonts w:hint="eastAsia" w:ascii="仿宋_GB2312" w:hAnsi="仿宋_GB2312" w:eastAsia="仿宋_GB2312" w:cs="仿宋_GB2312"/>
                <w:bCs/>
                <w:kern w:val="0"/>
                <w:sz w:val="28"/>
                <w:szCs w:val="28"/>
                <w:shd w:val="clear" w:fill="auto"/>
              </w:rPr>
              <w:t>。</w:t>
            </w:r>
          </w:p>
          <w:p>
            <w:pPr>
              <w:widowControl/>
              <w:numPr>
                <w:ilvl w:val="255"/>
                <w:numId w:val="0"/>
              </w:numPr>
              <w:spacing w:after="156" w:afterLines="50" w:line="560" w:lineRule="exact"/>
              <w:rPr>
                <w:rFonts w:ascii="楷体_GB2312" w:hAnsi="楷体_GB2312" w:eastAsia="楷体_GB2312" w:cs="楷体_GB2312"/>
                <w:b/>
                <w:kern w:val="0"/>
                <w:sz w:val="28"/>
                <w:szCs w:val="28"/>
                <w:shd w:val="clear" w:fill="auto"/>
              </w:rPr>
            </w:pPr>
            <w:r>
              <w:rPr>
                <w:rFonts w:hint="eastAsia" w:ascii="楷体_GB2312" w:hAnsi="楷体_GB2312" w:eastAsia="楷体_GB2312" w:cs="楷体_GB2312"/>
                <w:b/>
                <w:kern w:val="0"/>
                <w:sz w:val="28"/>
                <w:szCs w:val="28"/>
                <w:shd w:val="clear" w:fill="auto"/>
              </w:rPr>
              <w:t>重点排放单位供气调控因子：</w:t>
            </w:r>
          </w:p>
          <w:p>
            <w:pPr>
              <w:widowControl/>
              <w:numPr>
                <w:ilvl w:val="0"/>
                <w:numId w:val="2"/>
              </w:numPr>
              <w:rPr>
                <w:rFonts w:ascii="仿宋_GB2312" w:hAnsi="仿宋_GB2312" w:eastAsia="仿宋_GB2312" w:cs="仿宋_GB2312"/>
                <w:bCs/>
                <w:kern w:val="0"/>
                <w:sz w:val="28"/>
                <w:szCs w:val="28"/>
                <w:shd w:val="clear" w:fill="auto"/>
              </w:rPr>
            </w:pPr>
            <w:r>
              <w:rPr>
                <w:rFonts w:hint="eastAsia" w:ascii="仿宋_GB2312" w:hAnsi="仿宋_GB2312" w:eastAsia="仿宋_GB2312" w:cs="仿宋_GB2312"/>
                <w:bCs/>
                <w:kern w:val="0"/>
                <w:sz w:val="28"/>
                <w:szCs w:val="28"/>
                <w:shd w:val="clear" w:fill="auto"/>
              </w:rPr>
              <w:t>以液化天然气或天然气运输、接收、储存和再气化等为主要经营范围和碳排放来源的重点排放单位，供气调控因子取</w:t>
            </w:r>
            <w:r>
              <w:rPr>
                <w:rFonts w:ascii="仿宋_GB2312" w:hAnsi="仿宋_GB2312" w:eastAsia="仿宋_GB2312" w:cs="仿宋_GB2312"/>
                <w:bCs/>
                <w:kern w:val="0"/>
                <w:sz w:val="28"/>
                <w:szCs w:val="28"/>
                <w:shd w:val="clear" w:fill="auto"/>
              </w:rPr>
              <w:t>1.05；</w:t>
            </w:r>
          </w:p>
          <w:p>
            <w:pPr>
              <w:widowControl/>
              <w:numPr>
                <w:ilvl w:val="0"/>
                <w:numId w:val="2"/>
              </w:numPr>
              <w:rPr>
                <w:rFonts w:ascii="仿宋_GB2312" w:hAnsi="仿宋_GB2312" w:eastAsia="仿宋_GB2312" w:cs="仿宋_GB2312"/>
                <w:bCs/>
                <w:kern w:val="0"/>
                <w:sz w:val="28"/>
                <w:szCs w:val="28"/>
                <w:shd w:val="clear" w:fill="auto"/>
              </w:rPr>
            </w:pPr>
            <w:r>
              <w:rPr>
                <w:rFonts w:hint="eastAsia" w:ascii="仿宋_GB2312" w:hAnsi="仿宋_GB2312" w:eastAsia="仿宋_GB2312" w:cs="仿宋_GB2312"/>
                <w:bCs/>
                <w:kern w:val="0"/>
                <w:sz w:val="28"/>
                <w:szCs w:val="28"/>
                <w:shd w:val="clear" w:fill="auto"/>
              </w:rPr>
              <w:t>以天然气市内运输和销售为主要经营范围和碳排放来源的重点排放单位，供气调控因子取</w:t>
            </w:r>
            <w:r>
              <w:rPr>
                <w:rFonts w:ascii="仿宋_GB2312" w:hAnsi="仿宋_GB2312" w:eastAsia="仿宋_GB2312" w:cs="仿宋_GB2312"/>
                <w:bCs/>
                <w:kern w:val="0"/>
                <w:sz w:val="28"/>
                <w:szCs w:val="28"/>
                <w:shd w:val="clear" w:fill="auto"/>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978" w:type="dxa"/>
            <w:vAlign w:val="center"/>
          </w:tcPr>
          <w:p>
            <w:pPr>
              <w:widowControl/>
              <w:numPr>
                <w:ilvl w:val="255"/>
                <w:numId w:val="0"/>
              </w:numPr>
              <w:spacing w:after="156" w:afterLines="50" w:line="560" w:lineRule="exact"/>
              <w:rPr>
                <w:rFonts w:ascii="黑体" w:hAnsi="黑体" w:eastAsia="黑体" w:cs="宋体"/>
                <w:bCs/>
                <w:kern w:val="0"/>
                <w:sz w:val="28"/>
                <w:szCs w:val="28"/>
                <w:shd w:val="clear" w:fill="auto"/>
              </w:rPr>
            </w:pPr>
            <w:r>
              <w:rPr>
                <w:rFonts w:hint="eastAsia" w:ascii="黑体" w:hAnsi="黑体" w:eastAsia="黑体" w:cs="宋体"/>
                <w:bCs/>
                <w:kern w:val="0"/>
                <w:sz w:val="28"/>
                <w:szCs w:val="28"/>
                <w:shd w:val="clear" w:fill="auto"/>
              </w:rPr>
              <w:t>四、数据中心行业</w:t>
            </w:r>
          </w:p>
          <w:p>
            <w:pPr>
              <w:widowControl/>
              <w:numPr>
                <w:ilvl w:val="255"/>
                <w:numId w:val="0"/>
              </w:numPr>
              <w:spacing w:after="156" w:afterLines="50" w:line="560" w:lineRule="exact"/>
              <w:rPr>
                <w:rFonts w:ascii="仿宋_GB2312" w:hAnsi="仿宋_GB2312" w:eastAsia="仿宋_GB2312" w:cs="仿宋_GB2312"/>
                <w:bCs/>
                <w:kern w:val="0"/>
                <w:sz w:val="28"/>
                <w:szCs w:val="28"/>
                <w:shd w:val="clear" w:fill="auto"/>
              </w:rPr>
            </w:pPr>
            <w:r>
              <w:rPr>
                <w:rFonts w:hint="eastAsia" w:ascii="楷体_GB2312" w:hAnsi="楷体_GB2312" w:eastAsia="楷体_GB2312" w:cs="楷体_GB2312"/>
                <w:b/>
                <w:kern w:val="0"/>
                <w:sz w:val="28"/>
                <w:szCs w:val="28"/>
                <w:shd w:val="clear" w:fill="auto"/>
              </w:rPr>
              <w:t>行业基准碳强度值：</w:t>
            </w:r>
            <w:r>
              <w:rPr>
                <w:rFonts w:hint="eastAsia" w:ascii="仿宋_GB2312" w:hAnsi="仿宋_GB2312" w:eastAsia="仿宋_GB2312" w:cs="仿宋_GB2312"/>
                <w:bCs/>
                <w:kern w:val="0"/>
                <w:sz w:val="28"/>
                <w:szCs w:val="28"/>
                <w:highlight w:val="none"/>
                <w:shd w:val="clear" w:fill="auto"/>
              </w:rPr>
              <w:t>1.376</w:t>
            </w:r>
            <w:r>
              <w:rPr>
                <w:rFonts w:ascii="仿宋_GB2312" w:hAnsi="仿宋_GB2312" w:eastAsia="仿宋_GB2312" w:cs="仿宋_GB2312"/>
                <w:bCs/>
                <w:kern w:val="0"/>
                <w:sz w:val="28"/>
                <w:szCs w:val="28"/>
                <w:highlight w:val="none"/>
                <w:shd w:val="clear" w:fill="auto"/>
              </w:rPr>
              <w:t>吨/IT设备ＭＷh耗电量</w:t>
            </w:r>
            <w:r>
              <w:rPr>
                <w:rFonts w:hint="eastAsia" w:ascii="仿宋_GB2312" w:hAnsi="仿宋_GB2312" w:eastAsia="仿宋_GB2312" w:cs="仿宋_GB2312"/>
                <w:bCs/>
                <w:kern w:val="0"/>
                <w:sz w:val="28"/>
                <w:szCs w:val="28"/>
                <w:highlight w:val="none"/>
                <w:shd w:val="clear" w:fill="auto"/>
              </w:rPr>
              <w:t>（根据能效指标</w:t>
            </w:r>
            <w:r>
              <w:rPr>
                <w:rFonts w:ascii="仿宋_GB2312" w:hAnsi="仿宋_GB2312" w:eastAsia="仿宋_GB2312" w:cs="仿宋_GB2312"/>
                <w:bCs/>
                <w:kern w:val="0"/>
                <w:sz w:val="28"/>
                <w:szCs w:val="28"/>
                <w:highlight w:val="none"/>
                <w:shd w:val="clear" w:fill="auto"/>
              </w:rPr>
              <w:t>PUE和深圳碳市场电力碳排放因子测算</w:t>
            </w:r>
            <w:r>
              <w:rPr>
                <w:rFonts w:hint="eastAsia" w:ascii="仿宋_GB2312" w:hAnsi="仿宋_GB2312" w:eastAsia="仿宋_GB2312" w:cs="仿宋_GB2312"/>
                <w:bCs/>
                <w:kern w:val="0"/>
                <w:sz w:val="28"/>
                <w:szCs w:val="28"/>
                <w:highlight w:val="none"/>
                <w:shd w:val="clear" w:fill="auto"/>
              </w:rPr>
              <w:t>）。</w:t>
            </w:r>
          </w:p>
        </w:tc>
      </w:tr>
    </w:tbl>
    <w:p>
      <w:pPr>
        <w:spacing w:line="560" w:lineRule="exact"/>
        <w:ind w:firstLine="640"/>
        <w:rPr>
          <w:rFonts w:ascii="仿宋_GB2312" w:hAnsi="仿宋_GB2312" w:eastAsia="仿宋_GB2312" w:cs="仿宋_GB2312"/>
          <w:kern w:val="0"/>
          <w:sz w:val="32"/>
          <w:szCs w:val="32"/>
          <w:shd w:val="clear" w:fill="auto"/>
        </w:rPr>
      </w:pPr>
    </w:p>
    <w:p>
      <w:pPr>
        <w:spacing w:line="560" w:lineRule="exact"/>
        <w:rPr>
          <w:rFonts w:ascii="仿宋_GB2312" w:hAnsi="仿宋_GB2312" w:eastAsia="仿宋_GB2312" w:cs="仿宋_GB2312"/>
          <w:kern w:val="0"/>
          <w:sz w:val="32"/>
          <w:szCs w:val="32"/>
          <w:shd w:val="clear" w:fill="auto"/>
        </w:rPr>
      </w:pPr>
    </w:p>
    <w:p>
      <w:pPr>
        <w:spacing w:after="0" w:line="560" w:lineRule="exact"/>
        <w:rPr>
          <w:rFonts w:ascii="黑体" w:hAnsi="黑体" w:eastAsia="黑体" w:cs="黑体"/>
          <w:b/>
          <w:bCs/>
          <w:sz w:val="32"/>
          <w:szCs w:val="32"/>
          <w:shd w:val="clear" w:fill="auto"/>
        </w:rPr>
      </w:pPr>
      <w:r>
        <w:rPr>
          <w:rFonts w:hint="eastAsia" w:ascii="黑体" w:hAnsi="黑体" w:eastAsia="黑体" w:cs="黑体"/>
          <w:sz w:val="32"/>
          <w:szCs w:val="32"/>
          <w:shd w:val="clear" w:fill="auto"/>
        </w:rPr>
        <w:br w:type="page"/>
      </w:r>
    </w:p>
    <w:p>
      <w:pPr>
        <w:pStyle w:val="2"/>
        <w:spacing w:before="0" w:after="0" w:line="560" w:lineRule="exact"/>
        <w:rPr>
          <w:rFonts w:ascii="黑体" w:hAnsi="黑体" w:eastAsia="黑体" w:cs="黑体"/>
          <w:b w:val="0"/>
          <w:bCs w:val="0"/>
          <w:kern w:val="2"/>
          <w:sz w:val="32"/>
          <w:szCs w:val="32"/>
          <w:shd w:val="clear" w:fill="auto"/>
        </w:rPr>
      </w:pPr>
      <w:r>
        <w:rPr>
          <w:rFonts w:hint="eastAsia" w:ascii="黑体" w:hAnsi="黑体" w:eastAsia="黑体" w:cs="黑体"/>
          <w:b w:val="0"/>
          <w:bCs w:val="0"/>
          <w:kern w:val="2"/>
          <w:sz w:val="32"/>
          <w:szCs w:val="32"/>
          <w:shd w:val="clear" w:fill="auto"/>
        </w:rPr>
        <w:t>附件2</w:t>
      </w:r>
    </w:p>
    <w:p>
      <w:pPr>
        <w:rPr>
          <w:shd w:val="clear" w:fill="auto"/>
        </w:rPr>
      </w:pPr>
    </w:p>
    <w:p>
      <w:pPr>
        <w:jc w:val="center"/>
        <w:rPr>
          <w:b/>
          <w:bCs/>
          <w:sz w:val="32"/>
          <w:szCs w:val="32"/>
          <w:shd w:val="clear" w:fill="auto"/>
        </w:rPr>
      </w:pPr>
      <w:r>
        <w:rPr>
          <w:rFonts w:ascii="方正小标宋简体" w:hAnsi="方正小标宋简体" w:eastAsia="方正小标宋简体" w:cs="方正小标宋简体"/>
          <w:sz w:val="44"/>
          <w:szCs w:val="44"/>
          <w:shd w:val="clear" w:fill="auto"/>
        </w:rPr>
        <w:t>2024年度公交、地铁</w:t>
      </w:r>
      <w:r>
        <w:rPr>
          <w:rFonts w:hint="eastAsia" w:ascii="方正小标宋简体" w:hAnsi="方正小标宋简体" w:eastAsia="方正小标宋简体" w:cs="方正小标宋简体"/>
          <w:sz w:val="44"/>
          <w:szCs w:val="44"/>
          <w:shd w:val="clear" w:fill="auto"/>
        </w:rPr>
        <w:t>、</w:t>
      </w:r>
      <w:r>
        <w:rPr>
          <w:rFonts w:ascii="方正小标宋简体" w:hAnsi="方正小标宋简体" w:eastAsia="方正小标宋简体" w:cs="方正小标宋简体"/>
          <w:sz w:val="44"/>
          <w:szCs w:val="44"/>
          <w:shd w:val="clear" w:fill="auto"/>
        </w:rPr>
        <w:t>危险废物处理等行业重点排放单位目标碳强度设定</w:t>
      </w:r>
    </w:p>
    <w:tbl>
      <w:tblPr>
        <w:tblStyle w:val="7"/>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9019" w:type="dxa"/>
            <w:vAlign w:val="center"/>
          </w:tcPr>
          <w:p>
            <w:pPr>
              <w:widowControl/>
              <w:numPr>
                <w:ilvl w:val="255"/>
                <w:numId w:val="0"/>
              </w:numPr>
              <w:spacing w:after="156" w:afterLines="50" w:line="560" w:lineRule="exact"/>
              <w:rPr>
                <w:rFonts w:ascii="黑体" w:hAnsi="黑体" w:eastAsia="黑体" w:cs="宋体"/>
                <w:bCs/>
                <w:kern w:val="0"/>
                <w:sz w:val="28"/>
                <w:szCs w:val="28"/>
                <w:shd w:val="clear" w:fill="auto"/>
              </w:rPr>
            </w:pPr>
            <w:r>
              <w:rPr>
                <w:rFonts w:hint="eastAsia" w:ascii="黑体" w:hAnsi="黑体" w:eastAsia="黑体" w:cs="宋体"/>
                <w:bCs/>
                <w:kern w:val="0"/>
                <w:sz w:val="28"/>
                <w:szCs w:val="28"/>
                <w:shd w:val="clear" w:fill="auto"/>
              </w:rPr>
              <w:t>一、公交行业</w:t>
            </w:r>
          </w:p>
          <w:p>
            <w:pPr>
              <w:widowControl/>
              <w:numPr>
                <w:ilvl w:val="255"/>
                <w:numId w:val="0"/>
              </w:numPr>
              <w:spacing w:after="156" w:afterLines="50" w:line="560" w:lineRule="exact"/>
              <w:rPr>
                <w:rFonts w:ascii="仿宋_GB2312" w:hAnsi="仿宋_GB2312" w:eastAsia="仿宋_GB2312" w:cs="仿宋_GB2312"/>
                <w:bCs/>
                <w:kern w:val="0"/>
                <w:sz w:val="28"/>
                <w:szCs w:val="28"/>
                <w:shd w:val="clear" w:fill="auto"/>
              </w:rPr>
            </w:pPr>
            <w:r>
              <w:rPr>
                <w:rFonts w:hint="eastAsia" w:ascii="仿宋_GB2312" w:hAnsi="仿宋_GB2312" w:eastAsia="仿宋_GB2312" w:cs="仿宋_GB2312"/>
                <w:bCs/>
                <w:kern w:val="0"/>
                <w:sz w:val="28"/>
                <w:szCs w:val="28"/>
                <w:shd w:val="clear" w:fill="auto"/>
              </w:rPr>
              <w:t>重点排放单位营运系统</w:t>
            </w:r>
            <w:r>
              <w:rPr>
                <w:rFonts w:ascii="仿宋_GB2312" w:hAnsi="仿宋_GB2312" w:eastAsia="仿宋_GB2312" w:cs="仿宋_GB2312"/>
                <w:bCs/>
                <w:kern w:val="0"/>
                <w:sz w:val="28"/>
                <w:szCs w:val="28"/>
                <w:shd w:val="clear" w:fill="auto"/>
              </w:rPr>
              <w:t>2024年度目标碳强度=</w:t>
            </w:r>
            <w:r>
              <w:rPr>
                <w:rFonts w:hint="eastAsia" w:ascii="仿宋_GB2312" w:hAnsi="仿宋_GB2312" w:eastAsia="仿宋_GB2312" w:cs="仿宋_GB2312"/>
                <w:bCs/>
                <w:kern w:val="0"/>
                <w:sz w:val="28"/>
                <w:szCs w:val="28"/>
                <w:shd w:val="clear" w:fill="auto"/>
              </w:rPr>
              <w:t>该单位</w:t>
            </w:r>
            <w:r>
              <w:rPr>
                <w:rFonts w:ascii="仿宋_GB2312" w:hAnsi="仿宋_GB2312" w:eastAsia="仿宋_GB2312" w:cs="仿宋_GB2312"/>
                <w:bCs/>
                <w:kern w:val="0"/>
                <w:sz w:val="28"/>
                <w:szCs w:val="28"/>
                <w:shd w:val="clear" w:fill="auto"/>
              </w:rPr>
              <w:t>营运系统2023年目标碳强度×0.995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9019" w:type="dxa"/>
            <w:vAlign w:val="center"/>
          </w:tcPr>
          <w:p>
            <w:pPr>
              <w:widowControl/>
              <w:numPr>
                <w:ilvl w:val="255"/>
                <w:numId w:val="0"/>
              </w:numPr>
              <w:spacing w:after="156" w:afterLines="50" w:line="560" w:lineRule="exact"/>
              <w:rPr>
                <w:rFonts w:ascii="黑体" w:hAnsi="黑体" w:eastAsia="黑体" w:cs="宋体"/>
                <w:bCs/>
                <w:kern w:val="0"/>
                <w:sz w:val="28"/>
                <w:szCs w:val="28"/>
                <w:shd w:val="clear" w:fill="auto"/>
              </w:rPr>
            </w:pPr>
            <w:r>
              <w:rPr>
                <w:rFonts w:hint="eastAsia" w:ascii="黑体" w:hAnsi="黑体" w:eastAsia="黑体" w:cs="宋体"/>
                <w:bCs/>
                <w:kern w:val="0"/>
                <w:sz w:val="28"/>
                <w:szCs w:val="28"/>
                <w:shd w:val="clear" w:fill="auto"/>
              </w:rPr>
              <w:t>二、地铁行业</w:t>
            </w:r>
          </w:p>
          <w:p>
            <w:pPr>
              <w:widowControl/>
              <w:numPr>
                <w:ilvl w:val="255"/>
                <w:numId w:val="0"/>
              </w:numPr>
              <w:spacing w:after="156" w:afterLines="50" w:line="560" w:lineRule="exact"/>
              <w:rPr>
                <w:rFonts w:ascii="黑体" w:hAnsi="黑体" w:eastAsia="黑体" w:cs="宋体"/>
                <w:bCs/>
                <w:kern w:val="0"/>
                <w:sz w:val="28"/>
                <w:szCs w:val="28"/>
                <w:shd w:val="clear" w:fill="auto"/>
              </w:rPr>
            </w:pPr>
            <w:r>
              <w:rPr>
                <w:rFonts w:hint="eastAsia" w:ascii="仿宋_GB2312" w:hAnsi="仿宋_GB2312" w:eastAsia="仿宋_GB2312" w:cs="仿宋_GB2312"/>
                <w:bCs/>
                <w:kern w:val="0"/>
                <w:sz w:val="28"/>
                <w:szCs w:val="28"/>
                <w:shd w:val="clear" w:fill="auto"/>
              </w:rPr>
              <w:t>重点排放单位牵引系统</w:t>
            </w:r>
            <w:r>
              <w:rPr>
                <w:rFonts w:ascii="仿宋_GB2312" w:hAnsi="仿宋_GB2312" w:eastAsia="仿宋_GB2312" w:cs="仿宋_GB2312"/>
                <w:bCs/>
                <w:kern w:val="0"/>
                <w:sz w:val="28"/>
                <w:szCs w:val="28"/>
                <w:shd w:val="clear" w:fill="auto"/>
              </w:rPr>
              <w:t>2024年度目标碳强度=</w:t>
            </w:r>
            <w:r>
              <w:rPr>
                <w:rFonts w:hint="eastAsia" w:ascii="仿宋_GB2312" w:hAnsi="仿宋_GB2312" w:eastAsia="仿宋_GB2312" w:cs="仿宋_GB2312"/>
                <w:bCs/>
                <w:kern w:val="0"/>
                <w:sz w:val="28"/>
                <w:szCs w:val="28"/>
                <w:shd w:val="clear" w:fill="auto"/>
              </w:rPr>
              <w:t>该单位</w:t>
            </w:r>
            <w:r>
              <w:rPr>
                <w:rFonts w:ascii="仿宋_GB2312" w:hAnsi="仿宋_GB2312" w:eastAsia="仿宋_GB2312" w:cs="仿宋_GB2312"/>
                <w:bCs/>
                <w:kern w:val="0"/>
                <w:sz w:val="28"/>
                <w:szCs w:val="28"/>
                <w:shd w:val="clear" w:fill="auto"/>
              </w:rPr>
              <w:t>牵引系统2023年目标碳强度×0.995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9019" w:type="dxa"/>
            <w:vAlign w:val="center"/>
          </w:tcPr>
          <w:p>
            <w:pPr>
              <w:widowControl/>
              <w:spacing w:after="156" w:afterLines="50" w:line="560" w:lineRule="exact"/>
              <w:ind w:firstLine="560" w:firstLineChars="200"/>
              <w:rPr>
                <w:rFonts w:ascii="黑体" w:hAnsi="黑体" w:eastAsia="黑体" w:cs="宋体"/>
                <w:b/>
                <w:bCs/>
                <w:kern w:val="0"/>
                <w:sz w:val="28"/>
                <w:szCs w:val="28"/>
                <w:shd w:val="clear" w:fill="auto"/>
              </w:rPr>
            </w:pPr>
            <w:r>
              <w:rPr>
                <w:rFonts w:hint="eastAsia" w:ascii="黑体" w:hAnsi="黑体" w:eastAsia="黑体" w:cs="宋体"/>
                <w:bCs/>
                <w:kern w:val="0"/>
                <w:sz w:val="28"/>
                <w:szCs w:val="28"/>
                <w:shd w:val="clear" w:fill="auto"/>
              </w:rPr>
              <w:t>三、危险废物处理、固体废物处理、污泥处理、污水处理行业</w:t>
            </w:r>
          </w:p>
          <w:p>
            <w:pPr>
              <w:widowControl/>
              <w:numPr>
                <w:ilvl w:val="255"/>
                <w:numId w:val="0"/>
              </w:numPr>
              <w:spacing w:after="156" w:afterLines="50" w:line="560" w:lineRule="exact"/>
              <w:rPr>
                <w:rFonts w:ascii="黑体" w:hAnsi="黑体" w:eastAsia="黑体" w:cs="宋体"/>
                <w:bCs/>
                <w:kern w:val="0"/>
                <w:sz w:val="28"/>
                <w:szCs w:val="28"/>
                <w:shd w:val="clear" w:fill="auto"/>
              </w:rPr>
            </w:pPr>
            <w:r>
              <w:rPr>
                <w:rFonts w:hint="eastAsia" w:ascii="仿宋_GB2312" w:hAnsi="仿宋_GB2312" w:eastAsia="仿宋_GB2312" w:cs="仿宋_GB2312"/>
                <w:bCs/>
                <w:kern w:val="0"/>
                <w:sz w:val="28"/>
                <w:szCs w:val="28"/>
                <w:shd w:val="clear" w:fill="auto"/>
              </w:rPr>
              <w:t>重点排放单位</w:t>
            </w:r>
            <w:r>
              <w:rPr>
                <w:rFonts w:ascii="仿宋_GB2312" w:hAnsi="仿宋_GB2312" w:eastAsia="仿宋_GB2312" w:cs="仿宋_GB2312"/>
                <w:bCs/>
                <w:kern w:val="0"/>
                <w:sz w:val="28"/>
                <w:szCs w:val="28"/>
                <w:shd w:val="clear" w:fill="auto"/>
              </w:rPr>
              <w:t>2024</w:t>
            </w:r>
            <w:r>
              <w:rPr>
                <w:rFonts w:hint="eastAsia" w:ascii="仿宋_GB2312" w:hAnsi="仿宋_GB2312" w:eastAsia="仿宋_GB2312" w:cs="仿宋_GB2312"/>
                <w:bCs/>
                <w:kern w:val="0"/>
                <w:sz w:val="28"/>
                <w:szCs w:val="28"/>
                <w:shd w:val="clear" w:fill="auto"/>
              </w:rPr>
              <w:t>年度目标碳强度</w:t>
            </w:r>
            <w:r>
              <w:rPr>
                <w:rFonts w:ascii="仿宋_GB2312" w:hAnsi="仿宋_GB2312" w:eastAsia="仿宋_GB2312" w:cs="仿宋_GB2312"/>
                <w:bCs/>
                <w:kern w:val="0"/>
                <w:sz w:val="28"/>
                <w:szCs w:val="28"/>
                <w:shd w:val="clear" w:fill="auto"/>
              </w:rPr>
              <w:t>=</w:t>
            </w:r>
            <w:r>
              <w:rPr>
                <w:rFonts w:hint="eastAsia" w:ascii="仿宋_GB2312" w:hAnsi="仿宋_GB2312" w:eastAsia="仿宋_GB2312" w:cs="仿宋_GB2312"/>
                <w:bCs/>
                <w:kern w:val="0"/>
                <w:sz w:val="28"/>
                <w:szCs w:val="28"/>
                <w:shd w:val="clear" w:fill="auto"/>
              </w:rPr>
              <w:t>该单位</w:t>
            </w:r>
            <w:r>
              <w:rPr>
                <w:rFonts w:ascii="仿宋_GB2312" w:hAnsi="仿宋_GB2312" w:eastAsia="仿宋_GB2312" w:cs="仿宋_GB2312"/>
                <w:bCs/>
                <w:kern w:val="0"/>
                <w:sz w:val="28"/>
                <w:szCs w:val="28"/>
                <w:shd w:val="clear" w:fill="auto"/>
              </w:rPr>
              <w:t>2021-2023年历史加权平均碳强度×0.985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019" w:type="dxa"/>
            <w:vAlign w:val="center"/>
          </w:tcPr>
          <w:p>
            <w:pPr>
              <w:widowControl/>
              <w:spacing w:after="156" w:afterLines="50" w:line="560" w:lineRule="exact"/>
              <w:rPr>
                <w:rFonts w:ascii="黑体" w:hAnsi="黑体" w:eastAsia="黑体" w:cs="宋体"/>
                <w:b/>
                <w:bCs/>
                <w:kern w:val="0"/>
                <w:sz w:val="28"/>
                <w:szCs w:val="28"/>
                <w:shd w:val="clear" w:fill="auto"/>
              </w:rPr>
            </w:pPr>
            <w:r>
              <w:rPr>
                <w:rFonts w:hint="eastAsia" w:ascii="黑体" w:hAnsi="黑体" w:eastAsia="黑体" w:cs="宋体"/>
                <w:bCs/>
                <w:kern w:val="0"/>
                <w:sz w:val="28"/>
                <w:szCs w:val="28"/>
                <w:shd w:val="clear" w:fill="auto"/>
              </w:rPr>
              <w:t>四、港口码头行业</w:t>
            </w:r>
          </w:p>
          <w:p>
            <w:pPr>
              <w:widowControl/>
              <w:numPr>
                <w:ilvl w:val="255"/>
                <w:numId w:val="0"/>
              </w:numPr>
              <w:spacing w:after="156" w:afterLines="50" w:line="560" w:lineRule="exact"/>
              <w:rPr>
                <w:rFonts w:ascii="黑体" w:hAnsi="黑体" w:eastAsia="仿宋_GB2312" w:cs="宋体"/>
                <w:bCs/>
                <w:kern w:val="0"/>
                <w:sz w:val="28"/>
                <w:szCs w:val="28"/>
                <w:shd w:val="clear" w:fill="auto"/>
              </w:rPr>
            </w:pPr>
            <w:r>
              <w:rPr>
                <w:rFonts w:hint="eastAsia" w:ascii="仿宋_GB2312" w:hAnsi="仿宋_GB2312" w:eastAsia="仿宋_GB2312" w:cs="仿宋_GB2312"/>
                <w:bCs/>
                <w:kern w:val="0"/>
                <w:sz w:val="28"/>
                <w:szCs w:val="28"/>
                <w:shd w:val="clear" w:fill="auto"/>
              </w:rPr>
              <w:t>重点排放单位</w:t>
            </w:r>
            <w:r>
              <w:rPr>
                <w:rFonts w:ascii="仿宋_GB2312" w:hAnsi="仿宋_GB2312" w:eastAsia="仿宋_GB2312" w:cs="仿宋_GB2312"/>
                <w:bCs/>
                <w:kern w:val="0"/>
                <w:sz w:val="28"/>
                <w:szCs w:val="28"/>
                <w:shd w:val="clear" w:fill="auto"/>
              </w:rPr>
              <w:t>2024</w:t>
            </w:r>
            <w:r>
              <w:rPr>
                <w:rFonts w:hint="eastAsia" w:ascii="仿宋_GB2312" w:hAnsi="仿宋_GB2312" w:eastAsia="仿宋_GB2312" w:cs="仿宋_GB2312"/>
                <w:bCs/>
                <w:kern w:val="0"/>
                <w:sz w:val="28"/>
                <w:szCs w:val="28"/>
                <w:shd w:val="clear" w:fill="auto"/>
              </w:rPr>
              <w:t>年度目标碳强度</w:t>
            </w:r>
            <w:r>
              <w:rPr>
                <w:rFonts w:ascii="仿宋_GB2312" w:hAnsi="仿宋_GB2312" w:eastAsia="仿宋_GB2312" w:cs="仿宋_GB2312"/>
                <w:bCs/>
                <w:kern w:val="0"/>
                <w:sz w:val="28"/>
                <w:szCs w:val="28"/>
                <w:shd w:val="clear" w:fill="auto"/>
              </w:rPr>
              <w:t>=</w:t>
            </w:r>
            <w:r>
              <w:rPr>
                <w:rFonts w:hint="eastAsia" w:ascii="仿宋_GB2312" w:hAnsi="仿宋_GB2312" w:eastAsia="仿宋_GB2312" w:cs="仿宋_GB2312"/>
                <w:bCs/>
                <w:kern w:val="0"/>
                <w:sz w:val="28"/>
                <w:szCs w:val="28"/>
                <w:shd w:val="clear" w:fill="auto"/>
              </w:rPr>
              <w:t>该单位</w:t>
            </w:r>
            <w:r>
              <w:rPr>
                <w:rFonts w:ascii="仿宋_GB2312" w:hAnsi="仿宋_GB2312" w:eastAsia="仿宋_GB2312" w:cs="仿宋_GB2312"/>
                <w:bCs/>
                <w:kern w:val="0"/>
                <w:sz w:val="28"/>
                <w:szCs w:val="28"/>
                <w:shd w:val="clear" w:fill="auto"/>
              </w:rPr>
              <w:t>2021-2023年历史加权平均碳强度×0.985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019" w:type="dxa"/>
            <w:vAlign w:val="center"/>
          </w:tcPr>
          <w:p>
            <w:pPr>
              <w:widowControl/>
              <w:spacing w:after="156" w:afterLines="50" w:line="560" w:lineRule="exact"/>
              <w:ind w:firstLine="560" w:firstLineChars="200"/>
              <w:rPr>
                <w:rFonts w:ascii="黑体" w:hAnsi="黑体" w:eastAsia="黑体" w:cs="宋体"/>
                <w:b/>
                <w:bCs/>
                <w:kern w:val="0"/>
                <w:sz w:val="28"/>
                <w:szCs w:val="28"/>
                <w:shd w:val="clear" w:fill="auto"/>
              </w:rPr>
            </w:pPr>
            <w:r>
              <w:rPr>
                <w:rFonts w:hint="eastAsia" w:ascii="黑体" w:hAnsi="黑体" w:eastAsia="黑体" w:cs="宋体"/>
                <w:bCs/>
                <w:kern w:val="0"/>
                <w:sz w:val="28"/>
                <w:szCs w:val="28"/>
                <w:shd w:val="clear" w:fill="auto"/>
              </w:rPr>
              <w:t>五、平板显示、信息化学品及其他专用化学品行业</w:t>
            </w:r>
          </w:p>
          <w:p>
            <w:pPr>
              <w:widowControl/>
              <w:numPr>
                <w:ilvl w:val="255"/>
                <w:numId w:val="0"/>
              </w:numPr>
              <w:spacing w:after="156" w:afterLines="50" w:line="560" w:lineRule="exact"/>
              <w:rPr>
                <w:rFonts w:ascii="仿宋_GB2312" w:hAnsi="仿宋_GB2312" w:eastAsia="仿宋_GB2312" w:cs="仿宋_GB2312"/>
                <w:bCs/>
                <w:kern w:val="0"/>
                <w:sz w:val="28"/>
                <w:szCs w:val="28"/>
                <w:shd w:val="clear" w:fill="auto"/>
              </w:rPr>
            </w:pPr>
            <w:r>
              <w:rPr>
                <w:rFonts w:hint="eastAsia" w:ascii="仿宋_GB2312" w:hAnsi="仿宋_GB2312" w:eastAsia="仿宋_GB2312" w:cs="仿宋_GB2312"/>
                <w:bCs/>
                <w:kern w:val="0"/>
                <w:sz w:val="28"/>
                <w:szCs w:val="28"/>
                <w:shd w:val="clear" w:fill="auto"/>
              </w:rPr>
              <w:t>重点排放单位</w:t>
            </w:r>
            <w:r>
              <w:rPr>
                <w:rFonts w:ascii="仿宋_GB2312" w:hAnsi="仿宋_GB2312" w:eastAsia="仿宋_GB2312" w:cs="仿宋_GB2312"/>
                <w:bCs/>
                <w:kern w:val="0"/>
                <w:sz w:val="28"/>
                <w:szCs w:val="28"/>
                <w:shd w:val="clear" w:fill="auto"/>
              </w:rPr>
              <w:t>2024</w:t>
            </w:r>
            <w:r>
              <w:rPr>
                <w:rFonts w:hint="eastAsia" w:ascii="仿宋_GB2312" w:hAnsi="仿宋_GB2312" w:eastAsia="仿宋_GB2312" w:cs="仿宋_GB2312"/>
                <w:bCs/>
                <w:kern w:val="0"/>
                <w:sz w:val="28"/>
                <w:szCs w:val="28"/>
                <w:shd w:val="clear" w:fill="auto"/>
              </w:rPr>
              <w:t>年度目标碳强度</w:t>
            </w:r>
            <w:r>
              <w:rPr>
                <w:rFonts w:ascii="仿宋_GB2312" w:hAnsi="仿宋_GB2312" w:eastAsia="仿宋_GB2312" w:cs="仿宋_GB2312"/>
                <w:bCs/>
                <w:kern w:val="0"/>
                <w:sz w:val="28"/>
                <w:szCs w:val="28"/>
                <w:shd w:val="clear" w:fill="auto"/>
              </w:rPr>
              <w:t>=</w:t>
            </w:r>
            <w:r>
              <w:rPr>
                <w:rFonts w:hint="eastAsia" w:ascii="仿宋_GB2312" w:hAnsi="仿宋_GB2312" w:eastAsia="仿宋_GB2312" w:cs="仿宋_GB2312"/>
                <w:bCs/>
                <w:kern w:val="0"/>
                <w:sz w:val="28"/>
                <w:szCs w:val="28"/>
                <w:shd w:val="clear" w:fill="auto"/>
              </w:rPr>
              <w:t>该单位</w:t>
            </w:r>
            <w:r>
              <w:rPr>
                <w:rFonts w:ascii="仿宋_GB2312" w:hAnsi="仿宋_GB2312" w:eastAsia="仿宋_GB2312" w:cs="仿宋_GB2312"/>
                <w:bCs/>
                <w:kern w:val="0"/>
                <w:sz w:val="28"/>
                <w:szCs w:val="28"/>
                <w:shd w:val="clear" w:fill="auto"/>
              </w:rPr>
              <w:t>2021-2023年历史加权平均碳强度×0.985</w:t>
            </w:r>
          </w:p>
        </w:tc>
      </w:tr>
    </w:tbl>
    <w:p>
      <w:pPr>
        <w:pStyle w:val="2"/>
        <w:spacing w:before="0" w:after="0" w:line="560" w:lineRule="exact"/>
        <w:rPr>
          <w:rFonts w:ascii="黑体" w:hAnsi="黑体" w:eastAsia="黑体" w:cs="黑体"/>
          <w:b w:val="0"/>
          <w:bCs w:val="0"/>
          <w:kern w:val="2"/>
          <w:sz w:val="32"/>
          <w:szCs w:val="32"/>
          <w:shd w:val="clear" w:fill="auto"/>
        </w:rPr>
      </w:pPr>
      <w:r>
        <w:rPr>
          <w:rFonts w:hint="eastAsia" w:ascii="黑体" w:hAnsi="黑体" w:eastAsia="黑体" w:cs="黑体"/>
          <w:b w:val="0"/>
          <w:bCs w:val="0"/>
          <w:kern w:val="2"/>
          <w:sz w:val="32"/>
          <w:szCs w:val="32"/>
          <w:shd w:val="clear" w:fill="auto"/>
        </w:rPr>
        <w:t>附件3</w:t>
      </w:r>
    </w:p>
    <w:p>
      <w:pPr>
        <w:rPr>
          <w:shd w:val="clear" w:fill="auto"/>
        </w:rPr>
      </w:pPr>
    </w:p>
    <w:p>
      <w:pPr>
        <w:jc w:val="center"/>
        <w:rPr>
          <w:b/>
          <w:bCs/>
          <w:sz w:val="32"/>
          <w:szCs w:val="32"/>
          <w:shd w:val="clear" w:fill="auto"/>
        </w:rPr>
      </w:pPr>
      <w:r>
        <w:rPr>
          <w:rFonts w:ascii="方正小标宋简体" w:hAnsi="方正小标宋简体" w:eastAsia="方正小标宋简体" w:cs="方正小标宋简体"/>
          <w:sz w:val="44"/>
          <w:szCs w:val="44"/>
          <w:shd w:val="clear" w:fill="auto"/>
        </w:rPr>
        <w:t>2024年度制造业及其他行业重点排放单位目标碳强度设定</w:t>
      </w:r>
    </w:p>
    <w:tbl>
      <w:tblPr>
        <w:tblStyle w:val="7"/>
        <w:tblW w:w="9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103" w:type="dxa"/>
            <w:vAlign w:val="center"/>
          </w:tcPr>
          <w:p>
            <w:pPr>
              <w:spacing w:line="560" w:lineRule="exact"/>
              <w:ind w:firstLine="560" w:firstLineChars="200"/>
              <w:rPr>
                <w:rFonts w:ascii="黑体" w:hAnsi="黑体" w:eastAsia="黑体" w:cs="黑体"/>
                <w:bCs/>
                <w:kern w:val="0"/>
                <w:sz w:val="28"/>
                <w:szCs w:val="28"/>
                <w:shd w:val="clear" w:fill="auto"/>
              </w:rPr>
            </w:pPr>
            <w:r>
              <w:rPr>
                <w:rFonts w:hint="eastAsia" w:ascii="黑体" w:hAnsi="黑体" w:eastAsia="黑体" w:cs="黑体"/>
                <w:bCs/>
                <w:kern w:val="0"/>
                <w:sz w:val="28"/>
                <w:szCs w:val="28"/>
                <w:shd w:val="clear" w:fill="auto"/>
              </w:rPr>
              <w:t>一、目标碳强度计算公式</w:t>
            </w:r>
          </w:p>
          <w:p>
            <w:pPr>
              <w:spacing w:line="560" w:lineRule="exact"/>
              <w:ind w:firstLine="560" w:firstLineChars="200"/>
              <w:rPr>
                <w:rFonts w:ascii="仿宋_GB2312" w:hAnsi="仿宋_GB2312" w:eastAsia="仿宋_GB2312" w:cs="仿宋_GB2312"/>
                <w:bCs/>
                <w:kern w:val="0"/>
                <w:sz w:val="28"/>
                <w:szCs w:val="28"/>
                <w:shd w:val="clear" w:fill="auto"/>
              </w:rPr>
            </w:pPr>
            <w:r>
              <w:rPr>
                <w:rFonts w:hint="eastAsia" w:ascii="仿宋_GB2312" w:hAnsi="仿宋_GB2312" w:eastAsia="仿宋_GB2312" w:cs="仿宋_GB2312"/>
                <w:bCs/>
                <w:kern w:val="0"/>
                <w:sz w:val="28"/>
                <w:szCs w:val="28"/>
                <w:shd w:val="clear" w:fill="auto"/>
              </w:rPr>
              <w:t>既有重点排放单位</w:t>
            </w:r>
            <w:r>
              <w:rPr>
                <w:rFonts w:ascii="仿宋_GB2312" w:hAnsi="仿宋_GB2312" w:eastAsia="仿宋_GB2312" w:cs="仿宋_GB2312"/>
                <w:bCs/>
                <w:kern w:val="0"/>
                <w:sz w:val="28"/>
                <w:szCs w:val="28"/>
                <w:shd w:val="clear" w:fill="auto"/>
              </w:rPr>
              <w:t>2024</w:t>
            </w:r>
            <w:r>
              <w:rPr>
                <w:rFonts w:hint="eastAsia" w:ascii="仿宋_GB2312" w:hAnsi="仿宋_GB2312" w:eastAsia="仿宋_GB2312" w:cs="仿宋_GB2312"/>
                <w:bCs/>
                <w:kern w:val="0"/>
                <w:sz w:val="28"/>
                <w:szCs w:val="28"/>
                <w:shd w:val="clear" w:fill="auto"/>
              </w:rPr>
              <w:t>年度目标碳强度</w:t>
            </w:r>
            <w:r>
              <w:rPr>
                <w:rFonts w:ascii="仿宋_GB2312" w:hAnsi="仿宋_GB2312" w:eastAsia="仿宋_GB2312" w:cs="仿宋_GB2312"/>
                <w:bCs/>
                <w:kern w:val="0"/>
                <w:sz w:val="28"/>
                <w:szCs w:val="28"/>
                <w:shd w:val="clear" w:fill="auto"/>
              </w:rPr>
              <w:t>=</w:t>
            </w:r>
            <w:r>
              <w:rPr>
                <w:rFonts w:hint="eastAsia" w:ascii="仿宋_GB2312" w:hAnsi="仿宋_GB2312" w:eastAsia="仿宋_GB2312" w:cs="仿宋_GB2312"/>
                <w:bCs/>
                <w:kern w:val="0"/>
                <w:sz w:val="28"/>
                <w:szCs w:val="28"/>
                <w:shd w:val="clear" w:fill="auto"/>
              </w:rPr>
              <w:t>该单位</w:t>
            </w:r>
            <w:r>
              <w:rPr>
                <w:rFonts w:ascii="仿宋_GB2312" w:hAnsi="仿宋_GB2312" w:eastAsia="仿宋_GB2312" w:cs="仿宋_GB2312"/>
                <w:bCs/>
                <w:kern w:val="0"/>
                <w:sz w:val="28"/>
                <w:szCs w:val="28"/>
                <w:shd w:val="clear" w:fill="auto"/>
              </w:rPr>
              <w:t xml:space="preserve">2021-2023年历史加权平均碳强度 </w:t>
            </w:r>
            <w:r>
              <w:rPr>
                <w:rFonts w:hint="eastAsia" w:ascii="仿宋_GB2312" w:hAnsi="仿宋_GB2312" w:eastAsia="仿宋_GB2312" w:cs="仿宋_GB2312"/>
                <w:bCs/>
                <w:kern w:val="0"/>
                <w:sz w:val="28"/>
                <w:szCs w:val="28"/>
                <w:shd w:val="clear" w:fill="auto"/>
              </w:rPr>
              <w:t>×（</w:t>
            </w:r>
            <w:r>
              <w:rPr>
                <w:rFonts w:ascii="仿宋_GB2312" w:hAnsi="仿宋_GB2312" w:eastAsia="仿宋_GB2312" w:cs="仿宋_GB2312"/>
                <w:bCs/>
                <w:kern w:val="0"/>
                <w:sz w:val="28"/>
                <w:szCs w:val="28"/>
                <w:shd w:val="clear" w:fill="auto"/>
              </w:rPr>
              <w:t>1-2024年度碳强度下降率）</w:t>
            </w:r>
          </w:p>
          <w:p>
            <w:pPr>
              <w:spacing w:line="560" w:lineRule="exact"/>
              <w:ind w:firstLine="560" w:firstLineChars="200"/>
              <w:rPr>
                <w:rFonts w:ascii="仿宋_GB2312" w:hAnsi="仿宋_GB2312" w:eastAsia="仿宋_GB2312" w:cs="仿宋_GB2312"/>
                <w:bCs/>
                <w:kern w:val="0"/>
                <w:sz w:val="28"/>
                <w:szCs w:val="28"/>
                <w:shd w:val="clear" w:fill="auto"/>
              </w:rPr>
            </w:pPr>
            <w:r>
              <w:rPr>
                <w:rFonts w:hint="eastAsia" w:ascii="仿宋_GB2312" w:hAnsi="仿宋_GB2312" w:eastAsia="仿宋_GB2312" w:cs="仿宋_GB2312"/>
                <w:bCs/>
                <w:kern w:val="0"/>
                <w:sz w:val="28"/>
                <w:szCs w:val="28"/>
                <w:shd w:val="clear" w:fill="auto"/>
              </w:rPr>
              <w:t>新增重点排放单位</w:t>
            </w:r>
            <w:r>
              <w:rPr>
                <w:rFonts w:ascii="仿宋_GB2312" w:hAnsi="仿宋_GB2312" w:eastAsia="仿宋_GB2312" w:cs="仿宋_GB2312"/>
                <w:bCs/>
                <w:kern w:val="0"/>
                <w:sz w:val="28"/>
                <w:szCs w:val="28"/>
                <w:shd w:val="clear" w:fill="auto"/>
              </w:rPr>
              <w:t>2024</w:t>
            </w:r>
            <w:r>
              <w:rPr>
                <w:rFonts w:hint="eastAsia" w:ascii="仿宋_GB2312" w:hAnsi="仿宋_GB2312" w:eastAsia="仿宋_GB2312" w:cs="仿宋_GB2312"/>
                <w:bCs/>
                <w:kern w:val="0"/>
                <w:sz w:val="28"/>
                <w:szCs w:val="28"/>
                <w:shd w:val="clear" w:fill="auto"/>
              </w:rPr>
              <w:t>年度目标碳强度</w:t>
            </w:r>
            <w:r>
              <w:rPr>
                <w:rFonts w:ascii="仿宋_GB2312" w:hAnsi="仿宋_GB2312" w:eastAsia="仿宋_GB2312" w:cs="仿宋_GB2312"/>
                <w:bCs/>
                <w:kern w:val="0"/>
                <w:sz w:val="28"/>
                <w:szCs w:val="28"/>
                <w:shd w:val="clear" w:fill="auto"/>
              </w:rPr>
              <w:t>=</w:t>
            </w:r>
            <w:r>
              <w:rPr>
                <w:rFonts w:hint="eastAsia" w:ascii="仿宋_GB2312" w:hAnsi="仿宋_GB2312" w:eastAsia="仿宋_GB2312" w:cs="仿宋_GB2312"/>
                <w:bCs/>
                <w:kern w:val="0"/>
                <w:sz w:val="28"/>
                <w:szCs w:val="28"/>
                <w:shd w:val="clear" w:fill="auto"/>
              </w:rPr>
              <w:t>该单位已筛查的历史</w:t>
            </w:r>
            <w:r>
              <w:rPr>
                <w:rFonts w:ascii="仿宋_GB2312" w:hAnsi="仿宋_GB2312" w:eastAsia="仿宋_GB2312" w:cs="仿宋_GB2312"/>
                <w:bCs/>
                <w:kern w:val="0"/>
                <w:sz w:val="28"/>
                <w:szCs w:val="28"/>
                <w:shd w:val="clear" w:fill="auto"/>
              </w:rPr>
              <w:t xml:space="preserve">基准年加权平均碳强度 </w:t>
            </w:r>
            <w:r>
              <w:rPr>
                <w:rFonts w:hint="eastAsia" w:ascii="仿宋_GB2312" w:hAnsi="仿宋_GB2312" w:eastAsia="仿宋_GB2312" w:cs="仿宋_GB2312"/>
                <w:bCs/>
                <w:kern w:val="0"/>
                <w:sz w:val="28"/>
                <w:szCs w:val="28"/>
                <w:shd w:val="clear" w:fill="auto"/>
              </w:rPr>
              <w:t>×（</w:t>
            </w:r>
            <w:r>
              <w:rPr>
                <w:rFonts w:ascii="仿宋_GB2312" w:hAnsi="仿宋_GB2312" w:eastAsia="仿宋_GB2312" w:cs="仿宋_GB2312"/>
                <w:bCs/>
                <w:kern w:val="0"/>
                <w:sz w:val="28"/>
                <w:szCs w:val="28"/>
                <w:shd w:val="clear" w:fill="auto"/>
              </w:rPr>
              <w:t>1-2024年度碳强度下降率）</w:t>
            </w:r>
            <w:r>
              <w:rPr>
                <w:rFonts w:hint="eastAsia" w:ascii="仿宋_GB2312" w:hAnsi="仿宋_GB2312" w:eastAsia="仿宋_GB2312" w:cs="仿宋_GB2312"/>
                <w:bCs/>
                <w:kern w:val="0"/>
                <w:sz w:val="28"/>
                <w:szCs w:val="28"/>
                <w:shd w:val="clear" w:fill="auto"/>
                <w:vertAlign w:val="superscript"/>
              </w:rPr>
              <w:t>N</w:t>
            </w:r>
          </w:p>
          <w:p>
            <w:pPr>
              <w:widowControl/>
              <w:numPr>
                <w:ilvl w:val="255"/>
                <w:numId w:val="0"/>
              </w:numPr>
              <w:spacing w:line="560" w:lineRule="exact"/>
              <w:ind w:firstLine="560" w:firstLineChars="200"/>
              <w:rPr>
                <w:rFonts w:ascii="仿宋_GB2312" w:hAnsi="仿宋_GB2312" w:eastAsia="仿宋_GB2312" w:cs="仿宋_GB2312"/>
                <w:bCs/>
                <w:kern w:val="0"/>
                <w:sz w:val="28"/>
                <w:szCs w:val="28"/>
                <w:shd w:val="clear" w:fill="auto"/>
              </w:rPr>
            </w:pPr>
            <w:r>
              <w:rPr>
                <w:rFonts w:hint="eastAsia" w:ascii="仿宋_GB2312" w:hAnsi="仿宋_GB2312" w:eastAsia="仿宋_GB2312" w:cs="仿宋_GB2312"/>
                <w:bCs/>
                <w:kern w:val="0"/>
                <w:sz w:val="28"/>
                <w:szCs w:val="28"/>
                <w:shd w:val="clear" w:fill="auto"/>
              </w:rPr>
              <w:t>其中，2024年度碳强度下降率遵循“鼓励先进、惩罚落后”原则，根据重点排放单位历史碳强度与其所在行业历史碳强度的比值，划定相应档次，各档次下降率取值详见《</w:t>
            </w:r>
            <w:r>
              <w:rPr>
                <w:rFonts w:ascii="仿宋_GB2312" w:hAnsi="仿宋_GB2312" w:eastAsia="仿宋_GB2312" w:cs="仿宋_GB2312"/>
                <w:bCs/>
                <w:kern w:val="0"/>
                <w:sz w:val="28"/>
                <w:szCs w:val="28"/>
                <w:shd w:val="clear" w:fill="auto"/>
              </w:rPr>
              <w:t>2024年制造业及其他行业碳强度下降率对照表》。</w:t>
            </w:r>
            <w:r>
              <w:rPr>
                <w:rFonts w:hint="eastAsia" w:ascii="仿宋_GB2312" w:hAnsi="仿宋_GB2312" w:eastAsia="仿宋_GB2312" w:cs="仿宋_GB2312"/>
                <w:bCs/>
                <w:kern w:val="0"/>
                <w:sz w:val="28"/>
                <w:szCs w:val="28"/>
                <w:shd w:val="clear" w:fill="auto"/>
              </w:rPr>
              <w:t>针对新增重点排放单位，</w:t>
            </w:r>
            <w:r>
              <w:rPr>
                <w:rFonts w:ascii="仿宋_GB2312" w:hAnsi="仿宋_GB2312" w:eastAsia="仿宋_GB2312" w:cs="仿宋_GB2312"/>
                <w:bCs/>
                <w:kern w:val="0"/>
                <w:sz w:val="28"/>
                <w:szCs w:val="28"/>
                <w:shd w:val="clear" w:fill="auto"/>
              </w:rPr>
              <w:t>N取值根据</w:t>
            </w:r>
            <w:r>
              <w:rPr>
                <w:rFonts w:hint="eastAsia" w:ascii="仿宋_GB2312" w:hAnsi="仿宋_GB2312" w:eastAsia="仿宋_GB2312" w:cs="仿宋_GB2312"/>
                <w:bCs/>
                <w:kern w:val="0"/>
                <w:sz w:val="28"/>
                <w:szCs w:val="28"/>
                <w:shd w:val="clear" w:fill="auto"/>
              </w:rPr>
              <w:t>该单位基准年筛查最近一年与</w:t>
            </w:r>
            <w:r>
              <w:rPr>
                <w:rFonts w:ascii="仿宋_GB2312" w:hAnsi="仿宋_GB2312" w:eastAsia="仿宋_GB2312" w:cs="仿宋_GB2312"/>
                <w:bCs/>
                <w:kern w:val="0"/>
                <w:sz w:val="28"/>
                <w:szCs w:val="28"/>
                <w:shd w:val="clear" w:fill="auto"/>
              </w:rPr>
              <w:t>2024年的年份差值</w:t>
            </w:r>
            <w:r>
              <w:rPr>
                <w:rFonts w:hint="eastAsia" w:ascii="仿宋_GB2312" w:hAnsi="仿宋_GB2312" w:eastAsia="仿宋_GB2312" w:cs="仿宋_GB2312"/>
                <w:bCs/>
                <w:kern w:val="0"/>
                <w:sz w:val="28"/>
                <w:szCs w:val="28"/>
                <w:shd w:val="clear" w:fill="auto"/>
              </w:rPr>
              <w:t>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103" w:type="dxa"/>
            <w:vAlign w:val="center"/>
          </w:tcPr>
          <w:p>
            <w:pPr>
              <w:spacing w:line="560" w:lineRule="exact"/>
              <w:ind w:firstLine="560" w:firstLineChars="200"/>
              <w:rPr>
                <w:rFonts w:ascii="黑体" w:hAnsi="黑体" w:eastAsia="黑体" w:cs="黑体"/>
                <w:bCs/>
                <w:kern w:val="0"/>
                <w:sz w:val="28"/>
                <w:szCs w:val="28"/>
                <w:shd w:val="clear" w:fill="auto"/>
              </w:rPr>
            </w:pPr>
            <w:r>
              <w:rPr>
                <w:rFonts w:hint="eastAsia" w:ascii="黑体" w:hAnsi="黑体" w:eastAsia="黑体" w:cs="黑体"/>
                <w:bCs/>
                <w:kern w:val="0"/>
                <w:sz w:val="28"/>
                <w:szCs w:val="28"/>
                <w:shd w:val="clear" w:fill="auto"/>
              </w:rPr>
              <w:t>二、设定基本原则</w:t>
            </w:r>
          </w:p>
          <w:p>
            <w:pPr>
              <w:widowControl/>
              <w:numPr>
                <w:ilvl w:val="255"/>
                <w:numId w:val="0"/>
              </w:numPr>
              <w:spacing w:line="560" w:lineRule="exact"/>
              <w:ind w:firstLine="560" w:firstLineChars="200"/>
              <w:rPr>
                <w:rFonts w:ascii="仿宋_GB2312" w:hAnsi="仿宋_GB2312" w:eastAsia="仿宋_GB2312" w:cs="仿宋_GB2312"/>
                <w:bCs/>
                <w:kern w:val="0"/>
                <w:sz w:val="28"/>
                <w:szCs w:val="28"/>
                <w:shd w:val="clear" w:fill="auto"/>
              </w:rPr>
            </w:pPr>
            <w:r>
              <w:rPr>
                <w:rFonts w:hint="eastAsia" w:ascii="仿宋_GB2312" w:hAnsi="仿宋_GB2312" w:eastAsia="仿宋_GB2312" w:cs="仿宋_GB2312"/>
                <w:bCs/>
                <w:kern w:val="0"/>
                <w:sz w:val="28"/>
                <w:szCs w:val="28"/>
                <w:shd w:val="clear" w:fill="auto"/>
              </w:rPr>
              <w:t>重点排放单位年度目标碳强度的设定不超出其上一年度目标碳强度。当根据上述公式计算的重点排放单位</w:t>
            </w:r>
            <w:r>
              <w:rPr>
                <w:rFonts w:ascii="仿宋_GB2312" w:hAnsi="仿宋_GB2312" w:eastAsia="仿宋_GB2312" w:cs="仿宋_GB2312"/>
                <w:bCs/>
                <w:kern w:val="0"/>
                <w:sz w:val="28"/>
                <w:szCs w:val="28"/>
                <w:shd w:val="clear" w:fill="auto"/>
              </w:rPr>
              <w:t>2024年度目标碳强度高于其2023年度目标碳强度时，取2023年度目标碳强度作为重点排放单位2024年度目标碳强度。</w:t>
            </w:r>
          </w:p>
        </w:tc>
      </w:tr>
    </w:tbl>
    <w:p>
      <w:pPr>
        <w:numPr>
          <w:ilvl w:val="255"/>
          <w:numId w:val="0"/>
        </w:numPr>
        <w:snapToGrid w:val="0"/>
        <w:spacing w:before="156" w:beforeLines="50" w:after="156" w:afterLines="50" w:line="560" w:lineRule="exact"/>
        <w:jc w:val="center"/>
        <w:rPr>
          <w:rFonts w:ascii="仿宋_GB2312" w:hAnsi="仿宋_GB2312" w:eastAsia="仿宋_GB2312" w:cs="仿宋_GB2312"/>
          <w:b/>
          <w:kern w:val="0"/>
          <w:sz w:val="28"/>
          <w:szCs w:val="28"/>
          <w:shd w:val="clear" w:fill="auto"/>
        </w:rPr>
      </w:pPr>
    </w:p>
    <w:p>
      <w:pPr>
        <w:numPr>
          <w:ilvl w:val="255"/>
          <w:numId w:val="0"/>
        </w:numPr>
        <w:snapToGrid w:val="0"/>
        <w:spacing w:before="156" w:beforeLines="50" w:after="156" w:afterLines="50" w:line="560" w:lineRule="exact"/>
        <w:jc w:val="center"/>
        <w:rPr>
          <w:rFonts w:ascii="仿宋_GB2312" w:hAnsi="仿宋_GB2312" w:eastAsia="仿宋_GB2312" w:cs="仿宋_GB2312"/>
          <w:b/>
          <w:kern w:val="0"/>
          <w:sz w:val="28"/>
          <w:szCs w:val="28"/>
          <w:shd w:val="clear" w:fill="auto"/>
        </w:rPr>
      </w:pPr>
    </w:p>
    <w:p>
      <w:pPr>
        <w:numPr>
          <w:ilvl w:val="255"/>
          <w:numId w:val="0"/>
        </w:numPr>
        <w:snapToGrid w:val="0"/>
        <w:spacing w:before="156" w:beforeLines="50" w:after="156" w:afterLines="50" w:line="560" w:lineRule="exact"/>
        <w:jc w:val="center"/>
        <w:rPr>
          <w:rFonts w:ascii="仿宋_GB2312" w:hAnsi="仿宋_GB2312" w:eastAsia="仿宋_GB2312" w:cs="仿宋_GB2312"/>
          <w:b/>
          <w:bCs/>
          <w:kern w:val="0"/>
          <w:sz w:val="28"/>
          <w:szCs w:val="28"/>
          <w:shd w:val="clear" w:fill="auto"/>
        </w:rPr>
      </w:pPr>
      <w:r>
        <w:rPr>
          <w:rFonts w:hint="eastAsia" w:ascii="仿宋_GB2312" w:hAnsi="仿宋_GB2312" w:eastAsia="仿宋_GB2312" w:cs="仿宋_GB2312"/>
          <w:b/>
          <w:kern w:val="0"/>
          <w:sz w:val="28"/>
          <w:szCs w:val="28"/>
          <w:shd w:val="clear" w:fill="auto"/>
        </w:rPr>
        <w:t>附表</w:t>
      </w:r>
      <w:r>
        <w:rPr>
          <w:rFonts w:ascii="仿宋_GB2312" w:hAnsi="仿宋_GB2312" w:eastAsia="仿宋_GB2312" w:cs="仿宋_GB2312"/>
          <w:b/>
          <w:kern w:val="0"/>
          <w:sz w:val="28"/>
          <w:szCs w:val="28"/>
          <w:shd w:val="clear" w:fill="auto"/>
        </w:rPr>
        <w:t xml:space="preserve">  2024年制造业及其他行业</w:t>
      </w:r>
      <w:r>
        <w:rPr>
          <w:rFonts w:hint="eastAsia" w:ascii="仿宋_GB2312" w:hAnsi="仿宋_GB2312" w:eastAsia="仿宋_GB2312" w:cs="仿宋_GB2312"/>
          <w:b/>
          <w:kern w:val="0"/>
          <w:sz w:val="28"/>
          <w:szCs w:val="28"/>
          <w:shd w:val="clear" w:fill="auto"/>
        </w:rPr>
        <w:t>碳强度年均下降率对照表</w:t>
      </w:r>
    </w:p>
    <w:tbl>
      <w:tblPr>
        <w:tblStyle w:val="7"/>
        <w:tblW w:w="9097" w:type="dxa"/>
        <w:jc w:val="center"/>
        <w:tblLayout w:type="fixed"/>
        <w:tblCellMar>
          <w:top w:w="0" w:type="dxa"/>
          <w:left w:w="108" w:type="dxa"/>
          <w:bottom w:w="0" w:type="dxa"/>
          <w:right w:w="108" w:type="dxa"/>
        </w:tblCellMar>
      </w:tblPr>
      <w:tblGrid>
        <w:gridCol w:w="6211"/>
        <w:gridCol w:w="2886"/>
      </w:tblGrid>
      <w:tr>
        <w:tblPrEx>
          <w:tblCellMar>
            <w:top w:w="0" w:type="dxa"/>
            <w:left w:w="108" w:type="dxa"/>
            <w:bottom w:w="0" w:type="dxa"/>
            <w:right w:w="108" w:type="dxa"/>
          </w:tblCellMar>
        </w:tblPrEx>
        <w:trPr>
          <w:trHeight w:val="645" w:hRule="exact"/>
          <w:jc w:val="center"/>
        </w:trPr>
        <w:tc>
          <w:tcPr>
            <w:tcW w:w="6211"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contextualSpacing/>
              <w:jc w:val="center"/>
              <w:rPr>
                <w:rFonts w:ascii="仿宋_GB2312" w:hAnsi="仿宋_GB2312" w:eastAsia="仿宋_GB2312" w:cs="仿宋_GB2312"/>
                <w:kern w:val="0"/>
                <w:sz w:val="24"/>
                <w:szCs w:val="24"/>
                <w:shd w:val="clear" w:fill="auto"/>
              </w:rPr>
            </w:pPr>
            <w:r>
              <w:rPr>
                <w:rFonts w:hint="eastAsia" w:ascii="仿宋_GB2312" w:hAnsi="仿宋_GB2312" w:eastAsia="仿宋_GB2312" w:cs="仿宋_GB2312"/>
                <w:kern w:val="0"/>
                <w:sz w:val="24"/>
                <w:szCs w:val="24"/>
                <w:shd w:val="clear" w:fill="auto"/>
              </w:rPr>
              <w:t>重点排放单位历史碳强度与其行业历史碳强度的比值</w:t>
            </w:r>
          </w:p>
          <w:p>
            <w:pPr>
              <w:spacing w:after="0" w:line="240" w:lineRule="auto"/>
              <w:contextualSpacing/>
              <w:jc w:val="center"/>
              <w:rPr>
                <w:rFonts w:ascii="仿宋_GB2312" w:hAnsi="仿宋_GB2312" w:eastAsia="仿宋_GB2312" w:cs="仿宋_GB2312"/>
                <w:kern w:val="0"/>
                <w:sz w:val="20"/>
                <w:szCs w:val="20"/>
                <w:shd w:val="clear" w:fill="auto"/>
              </w:rPr>
            </w:pPr>
            <w:r>
              <w:rPr>
                <w:rFonts w:hint="eastAsia" w:ascii="仿宋_GB2312" w:hAnsi="仿宋_GB2312" w:eastAsia="仿宋_GB2312" w:cs="仿宋_GB2312"/>
                <w:kern w:val="0"/>
                <w:sz w:val="24"/>
                <w:szCs w:val="24"/>
                <w:shd w:val="clear" w:fill="auto"/>
              </w:rPr>
              <w:t>分档</w:t>
            </w:r>
          </w:p>
        </w:tc>
        <w:tc>
          <w:tcPr>
            <w:tcW w:w="2886"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contextualSpacing/>
              <w:jc w:val="center"/>
              <w:rPr>
                <w:rFonts w:ascii="仿宋_GB2312" w:hAnsi="仿宋_GB2312" w:eastAsia="仿宋_GB2312" w:cs="仿宋_GB2312"/>
                <w:kern w:val="0"/>
                <w:sz w:val="20"/>
                <w:szCs w:val="20"/>
                <w:shd w:val="clear" w:fill="auto"/>
              </w:rPr>
            </w:pPr>
            <w:r>
              <w:rPr>
                <w:rFonts w:hint="eastAsia" w:ascii="仿宋_GB2312" w:hAnsi="仿宋_GB2312" w:eastAsia="仿宋_GB2312" w:cs="仿宋_GB2312"/>
                <w:kern w:val="0"/>
                <w:sz w:val="24"/>
                <w:szCs w:val="24"/>
                <w:shd w:val="clear" w:fill="auto"/>
              </w:rPr>
              <w:t>碳强度年均下降率</w:t>
            </w:r>
          </w:p>
        </w:tc>
      </w:tr>
      <w:tr>
        <w:trPr>
          <w:trHeight w:val="341" w:hRule="atLeast"/>
          <w:jc w:val="center"/>
        </w:trPr>
        <w:tc>
          <w:tcPr>
            <w:tcW w:w="6211"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0-0.1</w:t>
            </w:r>
          </w:p>
        </w:tc>
        <w:tc>
          <w:tcPr>
            <w:tcW w:w="2886" w:type="dxa"/>
            <w:tcBorders>
              <w:top w:val="nil"/>
              <w:left w:val="nil"/>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0.51%</w:t>
            </w:r>
          </w:p>
        </w:tc>
      </w:tr>
      <w:tr>
        <w:tblPrEx>
          <w:tblCellMar>
            <w:top w:w="0" w:type="dxa"/>
            <w:left w:w="108" w:type="dxa"/>
            <w:bottom w:w="0" w:type="dxa"/>
            <w:right w:w="108" w:type="dxa"/>
          </w:tblCellMar>
        </w:tblPrEx>
        <w:trPr>
          <w:trHeight w:val="20" w:hRule="atLeast"/>
          <w:jc w:val="center"/>
        </w:trPr>
        <w:tc>
          <w:tcPr>
            <w:tcW w:w="6211"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0.1-0.2</w:t>
            </w:r>
          </w:p>
        </w:tc>
        <w:tc>
          <w:tcPr>
            <w:tcW w:w="2886" w:type="dxa"/>
            <w:tcBorders>
              <w:top w:val="nil"/>
              <w:left w:val="nil"/>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0.92%</w:t>
            </w:r>
          </w:p>
        </w:tc>
      </w:tr>
      <w:tr>
        <w:trPr>
          <w:trHeight w:val="20" w:hRule="atLeast"/>
          <w:jc w:val="center"/>
        </w:trPr>
        <w:tc>
          <w:tcPr>
            <w:tcW w:w="6211"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0.2-0.3</w:t>
            </w:r>
          </w:p>
        </w:tc>
        <w:tc>
          <w:tcPr>
            <w:tcW w:w="2886" w:type="dxa"/>
            <w:tcBorders>
              <w:top w:val="nil"/>
              <w:left w:val="nil"/>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1.34%</w:t>
            </w:r>
          </w:p>
        </w:tc>
      </w:tr>
      <w:tr>
        <w:tblPrEx>
          <w:tblCellMar>
            <w:top w:w="0" w:type="dxa"/>
            <w:left w:w="108" w:type="dxa"/>
            <w:bottom w:w="0" w:type="dxa"/>
            <w:right w:w="108" w:type="dxa"/>
          </w:tblCellMar>
        </w:tblPrEx>
        <w:trPr>
          <w:trHeight w:val="20" w:hRule="atLeast"/>
          <w:jc w:val="center"/>
        </w:trPr>
        <w:tc>
          <w:tcPr>
            <w:tcW w:w="6211"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0.3-0.4</w:t>
            </w:r>
          </w:p>
        </w:tc>
        <w:tc>
          <w:tcPr>
            <w:tcW w:w="2886" w:type="dxa"/>
            <w:tcBorders>
              <w:top w:val="nil"/>
              <w:left w:val="nil"/>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1.76%</w:t>
            </w:r>
          </w:p>
        </w:tc>
      </w:tr>
      <w:tr>
        <w:trPr>
          <w:trHeight w:val="20" w:hRule="atLeast"/>
          <w:jc w:val="center"/>
        </w:trPr>
        <w:tc>
          <w:tcPr>
            <w:tcW w:w="6211"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0.4-0.5</w:t>
            </w:r>
          </w:p>
        </w:tc>
        <w:tc>
          <w:tcPr>
            <w:tcW w:w="2886" w:type="dxa"/>
            <w:tcBorders>
              <w:top w:val="nil"/>
              <w:left w:val="nil"/>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2.19%</w:t>
            </w:r>
          </w:p>
        </w:tc>
      </w:tr>
      <w:tr>
        <w:tblPrEx>
          <w:tblCellMar>
            <w:top w:w="0" w:type="dxa"/>
            <w:left w:w="108" w:type="dxa"/>
            <w:bottom w:w="0" w:type="dxa"/>
            <w:right w:w="108" w:type="dxa"/>
          </w:tblCellMar>
        </w:tblPrEx>
        <w:trPr>
          <w:trHeight w:val="20" w:hRule="atLeast"/>
          <w:jc w:val="center"/>
        </w:trPr>
        <w:tc>
          <w:tcPr>
            <w:tcW w:w="6211"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0.5-0.6</w:t>
            </w:r>
          </w:p>
        </w:tc>
        <w:tc>
          <w:tcPr>
            <w:tcW w:w="2886" w:type="dxa"/>
            <w:tcBorders>
              <w:top w:val="nil"/>
              <w:left w:val="nil"/>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2.64%</w:t>
            </w:r>
          </w:p>
        </w:tc>
      </w:tr>
      <w:tr>
        <w:trPr>
          <w:trHeight w:val="20" w:hRule="atLeast"/>
          <w:jc w:val="center"/>
        </w:trPr>
        <w:tc>
          <w:tcPr>
            <w:tcW w:w="6211"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0.6-0.7</w:t>
            </w:r>
          </w:p>
        </w:tc>
        <w:tc>
          <w:tcPr>
            <w:tcW w:w="2886" w:type="dxa"/>
            <w:tcBorders>
              <w:top w:val="nil"/>
              <w:left w:val="nil"/>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3.08%</w:t>
            </w:r>
          </w:p>
        </w:tc>
      </w:tr>
      <w:tr>
        <w:tblPrEx>
          <w:tblCellMar>
            <w:top w:w="0" w:type="dxa"/>
            <w:left w:w="108" w:type="dxa"/>
            <w:bottom w:w="0" w:type="dxa"/>
            <w:right w:w="108" w:type="dxa"/>
          </w:tblCellMar>
        </w:tblPrEx>
        <w:trPr>
          <w:trHeight w:val="20" w:hRule="atLeast"/>
          <w:jc w:val="center"/>
        </w:trPr>
        <w:tc>
          <w:tcPr>
            <w:tcW w:w="6211"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0.7-0.8</w:t>
            </w:r>
          </w:p>
        </w:tc>
        <w:tc>
          <w:tcPr>
            <w:tcW w:w="2886" w:type="dxa"/>
            <w:tcBorders>
              <w:top w:val="nil"/>
              <w:left w:val="nil"/>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3.54%</w:t>
            </w:r>
          </w:p>
        </w:tc>
      </w:tr>
      <w:tr>
        <w:trPr>
          <w:trHeight w:val="20" w:hRule="atLeast"/>
          <w:jc w:val="center"/>
        </w:trPr>
        <w:tc>
          <w:tcPr>
            <w:tcW w:w="6211"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0.8-0.9</w:t>
            </w:r>
          </w:p>
        </w:tc>
        <w:tc>
          <w:tcPr>
            <w:tcW w:w="2886" w:type="dxa"/>
            <w:tcBorders>
              <w:top w:val="nil"/>
              <w:left w:val="nil"/>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4.01%</w:t>
            </w:r>
          </w:p>
        </w:tc>
      </w:tr>
      <w:tr>
        <w:tblPrEx>
          <w:tblCellMar>
            <w:top w:w="0" w:type="dxa"/>
            <w:left w:w="108" w:type="dxa"/>
            <w:bottom w:w="0" w:type="dxa"/>
            <w:right w:w="108" w:type="dxa"/>
          </w:tblCellMar>
        </w:tblPrEx>
        <w:trPr>
          <w:trHeight w:val="20" w:hRule="atLeast"/>
          <w:jc w:val="center"/>
        </w:trPr>
        <w:tc>
          <w:tcPr>
            <w:tcW w:w="6211"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0.9-1</w:t>
            </w:r>
          </w:p>
        </w:tc>
        <w:tc>
          <w:tcPr>
            <w:tcW w:w="2886" w:type="dxa"/>
            <w:tcBorders>
              <w:top w:val="nil"/>
              <w:left w:val="nil"/>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4.48%</w:t>
            </w:r>
          </w:p>
        </w:tc>
      </w:tr>
      <w:tr>
        <w:trPr>
          <w:trHeight w:val="20" w:hRule="atLeast"/>
          <w:jc w:val="center"/>
        </w:trPr>
        <w:tc>
          <w:tcPr>
            <w:tcW w:w="6211"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1-1.1</w:t>
            </w:r>
          </w:p>
        </w:tc>
        <w:tc>
          <w:tcPr>
            <w:tcW w:w="2886" w:type="dxa"/>
            <w:tcBorders>
              <w:top w:val="nil"/>
              <w:left w:val="nil"/>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4.97%</w:t>
            </w:r>
          </w:p>
        </w:tc>
      </w:tr>
      <w:tr>
        <w:tblPrEx>
          <w:tblCellMar>
            <w:top w:w="0" w:type="dxa"/>
            <w:left w:w="108" w:type="dxa"/>
            <w:bottom w:w="0" w:type="dxa"/>
            <w:right w:w="108" w:type="dxa"/>
          </w:tblCellMar>
        </w:tblPrEx>
        <w:trPr>
          <w:trHeight w:val="20" w:hRule="atLeast"/>
          <w:jc w:val="center"/>
        </w:trPr>
        <w:tc>
          <w:tcPr>
            <w:tcW w:w="6211"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1.1-1.2</w:t>
            </w:r>
          </w:p>
        </w:tc>
        <w:tc>
          <w:tcPr>
            <w:tcW w:w="2886" w:type="dxa"/>
            <w:tcBorders>
              <w:top w:val="nil"/>
              <w:left w:val="nil"/>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5.47%</w:t>
            </w:r>
          </w:p>
        </w:tc>
      </w:tr>
      <w:tr>
        <w:trPr>
          <w:trHeight w:val="20" w:hRule="atLeast"/>
          <w:jc w:val="center"/>
        </w:trPr>
        <w:tc>
          <w:tcPr>
            <w:tcW w:w="6211"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1.2-1.3</w:t>
            </w:r>
          </w:p>
        </w:tc>
        <w:tc>
          <w:tcPr>
            <w:tcW w:w="2886" w:type="dxa"/>
            <w:tcBorders>
              <w:top w:val="nil"/>
              <w:left w:val="nil"/>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5.97%</w:t>
            </w:r>
          </w:p>
        </w:tc>
      </w:tr>
      <w:tr>
        <w:tblPrEx>
          <w:tblCellMar>
            <w:top w:w="0" w:type="dxa"/>
            <w:left w:w="108" w:type="dxa"/>
            <w:bottom w:w="0" w:type="dxa"/>
            <w:right w:w="108" w:type="dxa"/>
          </w:tblCellMar>
        </w:tblPrEx>
        <w:trPr>
          <w:trHeight w:val="20" w:hRule="atLeast"/>
          <w:jc w:val="center"/>
        </w:trPr>
        <w:tc>
          <w:tcPr>
            <w:tcW w:w="6211"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1.3-1.4</w:t>
            </w:r>
          </w:p>
        </w:tc>
        <w:tc>
          <w:tcPr>
            <w:tcW w:w="2886" w:type="dxa"/>
            <w:tcBorders>
              <w:top w:val="nil"/>
              <w:left w:val="nil"/>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6.49%</w:t>
            </w:r>
          </w:p>
        </w:tc>
      </w:tr>
      <w:tr>
        <w:trPr>
          <w:trHeight w:val="20" w:hRule="atLeast"/>
          <w:jc w:val="center"/>
        </w:trPr>
        <w:tc>
          <w:tcPr>
            <w:tcW w:w="6211"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1.4-1.5</w:t>
            </w:r>
          </w:p>
        </w:tc>
        <w:tc>
          <w:tcPr>
            <w:tcW w:w="2886" w:type="dxa"/>
            <w:tcBorders>
              <w:top w:val="nil"/>
              <w:left w:val="nil"/>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7.02%</w:t>
            </w:r>
          </w:p>
        </w:tc>
      </w:tr>
      <w:tr>
        <w:tblPrEx>
          <w:tblCellMar>
            <w:top w:w="0" w:type="dxa"/>
            <w:left w:w="108" w:type="dxa"/>
            <w:bottom w:w="0" w:type="dxa"/>
            <w:right w:w="108" w:type="dxa"/>
          </w:tblCellMar>
        </w:tblPrEx>
        <w:trPr>
          <w:trHeight w:val="20" w:hRule="atLeast"/>
          <w:jc w:val="center"/>
        </w:trPr>
        <w:tc>
          <w:tcPr>
            <w:tcW w:w="6211"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1.5-1.6</w:t>
            </w:r>
          </w:p>
        </w:tc>
        <w:tc>
          <w:tcPr>
            <w:tcW w:w="2886" w:type="dxa"/>
            <w:tcBorders>
              <w:top w:val="nil"/>
              <w:left w:val="nil"/>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7.56%</w:t>
            </w:r>
          </w:p>
        </w:tc>
      </w:tr>
      <w:tr>
        <w:trPr>
          <w:trHeight w:val="20" w:hRule="atLeast"/>
          <w:jc w:val="center"/>
        </w:trPr>
        <w:tc>
          <w:tcPr>
            <w:tcW w:w="6211"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1.6-1.7</w:t>
            </w:r>
          </w:p>
        </w:tc>
        <w:tc>
          <w:tcPr>
            <w:tcW w:w="2886" w:type="dxa"/>
            <w:tcBorders>
              <w:top w:val="nil"/>
              <w:left w:val="nil"/>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8.11%</w:t>
            </w:r>
          </w:p>
        </w:tc>
      </w:tr>
      <w:tr>
        <w:tblPrEx>
          <w:tblCellMar>
            <w:top w:w="0" w:type="dxa"/>
            <w:left w:w="108" w:type="dxa"/>
            <w:bottom w:w="0" w:type="dxa"/>
            <w:right w:w="108" w:type="dxa"/>
          </w:tblCellMar>
        </w:tblPrEx>
        <w:trPr>
          <w:trHeight w:val="20" w:hRule="atLeast"/>
          <w:jc w:val="center"/>
        </w:trPr>
        <w:tc>
          <w:tcPr>
            <w:tcW w:w="6211"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1.7-1.8</w:t>
            </w:r>
          </w:p>
        </w:tc>
        <w:tc>
          <w:tcPr>
            <w:tcW w:w="2886" w:type="dxa"/>
            <w:tcBorders>
              <w:top w:val="nil"/>
              <w:left w:val="nil"/>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8.68%</w:t>
            </w:r>
          </w:p>
        </w:tc>
      </w:tr>
      <w:tr>
        <w:trPr>
          <w:trHeight w:val="20" w:hRule="atLeast"/>
          <w:jc w:val="center"/>
        </w:trPr>
        <w:tc>
          <w:tcPr>
            <w:tcW w:w="6211"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1.8-1.9</w:t>
            </w:r>
          </w:p>
        </w:tc>
        <w:tc>
          <w:tcPr>
            <w:tcW w:w="2886" w:type="dxa"/>
            <w:tcBorders>
              <w:top w:val="nil"/>
              <w:left w:val="nil"/>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9.26%</w:t>
            </w:r>
          </w:p>
        </w:tc>
      </w:tr>
      <w:tr>
        <w:tblPrEx>
          <w:tblCellMar>
            <w:top w:w="0" w:type="dxa"/>
            <w:left w:w="108" w:type="dxa"/>
            <w:bottom w:w="0" w:type="dxa"/>
            <w:right w:w="108" w:type="dxa"/>
          </w:tblCellMar>
        </w:tblPrEx>
        <w:trPr>
          <w:trHeight w:val="20" w:hRule="atLeast"/>
          <w:jc w:val="center"/>
        </w:trPr>
        <w:tc>
          <w:tcPr>
            <w:tcW w:w="6211"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1.9及以上</w:t>
            </w:r>
          </w:p>
        </w:tc>
        <w:tc>
          <w:tcPr>
            <w:tcW w:w="2886" w:type="dxa"/>
            <w:tcBorders>
              <w:top w:val="nil"/>
              <w:left w:val="nil"/>
              <w:bottom w:val="single" w:color="auto" w:sz="4" w:space="0"/>
              <w:right w:val="single" w:color="auto" w:sz="4" w:space="0"/>
            </w:tcBorders>
            <w:shd w:val="clear" w:color="auto" w:fill="auto"/>
            <w:vAlign w:val="center"/>
          </w:tcPr>
          <w:p>
            <w:pPr>
              <w:spacing w:after="0" w:line="240" w:lineRule="auto"/>
              <w:contextualSpacing/>
              <w:jc w:val="center"/>
              <w:rPr>
                <w:rFonts w:hint="eastAsia" w:ascii="仿宋_GB2312" w:hAnsi="仿宋_GB2312" w:eastAsia="仿宋_GB2312" w:cs="仿宋_GB2312"/>
                <w:bCs/>
                <w:sz w:val="24"/>
                <w:szCs w:val="24"/>
                <w:shd w:val="clear" w:fill="auto"/>
              </w:rPr>
            </w:pPr>
            <w:r>
              <w:rPr>
                <w:rFonts w:hint="eastAsia" w:ascii="仿宋_GB2312" w:hAnsi="仿宋_GB2312" w:eastAsia="仿宋_GB2312" w:cs="仿宋_GB2312"/>
                <w:bCs/>
                <w:sz w:val="24"/>
                <w:szCs w:val="24"/>
                <w:shd w:val="clear" w:fill="auto"/>
              </w:rPr>
              <w:t>9.86%</w:t>
            </w:r>
          </w:p>
        </w:tc>
      </w:tr>
    </w:tbl>
    <w:p>
      <w:pPr>
        <w:rPr>
          <w:shd w:val="clear" w:fill="auto"/>
        </w:rPr>
      </w:pPr>
    </w:p>
    <w:p>
      <w:pPr>
        <w:autoSpaceDE w:val="0"/>
        <w:autoSpaceDN w:val="0"/>
        <w:adjustRightInd w:val="0"/>
        <w:spacing w:line="600" w:lineRule="exact"/>
        <w:rPr>
          <w:rFonts w:ascii="仿宋_GB2312" w:hAnsi="仿宋_GB2312" w:eastAsia="仿宋_GB2312" w:cs="仿宋_GB2312"/>
          <w:kern w:val="0"/>
          <w:sz w:val="32"/>
          <w:szCs w:val="32"/>
          <w:shd w:val="clear" w:fill="auto"/>
        </w:rPr>
      </w:pPr>
    </w:p>
    <w:p>
      <w:pPr>
        <w:autoSpaceDE w:val="0"/>
        <w:autoSpaceDN w:val="0"/>
        <w:adjustRightInd w:val="0"/>
        <w:spacing w:line="600" w:lineRule="exact"/>
        <w:rPr>
          <w:rFonts w:ascii="仿宋_GB2312" w:hAnsi="仿宋_GB2312" w:eastAsia="仿宋_GB2312" w:cs="仿宋_GB2312"/>
          <w:kern w:val="0"/>
          <w:sz w:val="32"/>
          <w:szCs w:val="32"/>
          <w:shd w:val="clear" w:fill="auto"/>
        </w:rPr>
      </w:pPr>
    </w:p>
    <w:p>
      <w:pPr>
        <w:autoSpaceDE w:val="0"/>
        <w:autoSpaceDN w:val="0"/>
        <w:adjustRightInd w:val="0"/>
        <w:spacing w:line="600" w:lineRule="exact"/>
        <w:rPr>
          <w:rFonts w:ascii="仿宋_GB2312" w:hAnsi="仿宋_GB2312" w:eastAsia="仿宋_GB2312" w:cs="仿宋_GB2312"/>
          <w:kern w:val="0"/>
          <w:sz w:val="32"/>
          <w:szCs w:val="32"/>
          <w:shd w:val="clear" w:fill="auto"/>
        </w:rPr>
      </w:pPr>
    </w:p>
    <w:p>
      <w:pPr>
        <w:autoSpaceDE w:val="0"/>
        <w:autoSpaceDN w:val="0"/>
        <w:adjustRightInd w:val="0"/>
        <w:spacing w:line="600" w:lineRule="exact"/>
        <w:rPr>
          <w:rFonts w:ascii="仿宋_GB2312" w:hAnsi="仿宋_GB2312" w:eastAsia="仿宋_GB2312" w:cs="仿宋_GB2312"/>
          <w:kern w:val="0"/>
          <w:sz w:val="32"/>
          <w:szCs w:val="32"/>
          <w:shd w:val="clear" w:fill="auto"/>
        </w:rPr>
      </w:pPr>
    </w:p>
    <w:p>
      <w:pPr>
        <w:autoSpaceDE w:val="0"/>
        <w:autoSpaceDN w:val="0"/>
        <w:adjustRightInd w:val="0"/>
        <w:spacing w:line="600" w:lineRule="exact"/>
        <w:rPr>
          <w:rFonts w:ascii="仿宋_GB2312" w:hAnsi="仿宋_GB2312" w:eastAsia="仿宋_GB2312" w:cs="仿宋_GB2312"/>
          <w:kern w:val="0"/>
          <w:sz w:val="32"/>
          <w:szCs w:val="32"/>
          <w:shd w:val="clear" w:fill="auto"/>
        </w:rPr>
      </w:pPr>
    </w:p>
    <w:p>
      <w:pPr>
        <w:autoSpaceDE w:val="0"/>
        <w:autoSpaceDN w:val="0"/>
        <w:adjustRightInd w:val="0"/>
        <w:spacing w:line="600" w:lineRule="exact"/>
        <w:rPr>
          <w:rFonts w:ascii="仿宋_GB2312" w:hAnsi="仿宋_GB2312" w:eastAsia="仿宋_GB2312" w:cs="仿宋_GB2312"/>
          <w:kern w:val="0"/>
          <w:sz w:val="32"/>
          <w:szCs w:val="32"/>
          <w:shd w:val="clear" w:fill="auto"/>
        </w:rPr>
      </w:pPr>
    </w:p>
    <w:p>
      <w:pPr>
        <w:autoSpaceDE w:val="0"/>
        <w:autoSpaceDN w:val="0"/>
        <w:adjustRightInd w:val="0"/>
        <w:spacing w:line="600" w:lineRule="exact"/>
        <w:rPr>
          <w:rFonts w:ascii="仿宋_GB2312" w:hAnsi="仿宋_GB2312" w:eastAsia="仿宋_GB2312" w:cs="仿宋_GB2312"/>
          <w:kern w:val="0"/>
          <w:sz w:val="32"/>
          <w:szCs w:val="32"/>
          <w:shd w:val="clear" w:fill="auto"/>
        </w:rPr>
      </w:pPr>
    </w:p>
    <w:p>
      <w:pPr>
        <w:pStyle w:val="2"/>
        <w:spacing w:before="0" w:after="0" w:line="600" w:lineRule="exact"/>
        <w:rPr>
          <w:rFonts w:ascii="黑体" w:hAnsi="黑体" w:eastAsia="黑体" w:cs="黑体"/>
          <w:b w:val="0"/>
          <w:bCs w:val="0"/>
          <w:kern w:val="2"/>
          <w:sz w:val="32"/>
          <w:szCs w:val="28"/>
          <w:shd w:val="clear" w:fill="auto"/>
        </w:rPr>
      </w:pPr>
      <w:r>
        <w:rPr>
          <w:rFonts w:hint="eastAsia" w:ascii="黑体" w:hAnsi="黑体" w:eastAsia="黑体" w:cs="黑体"/>
          <w:b w:val="0"/>
          <w:bCs w:val="0"/>
          <w:kern w:val="2"/>
          <w:sz w:val="32"/>
          <w:szCs w:val="28"/>
          <w:shd w:val="clear" w:fill="auto"/>
        </w:rPr>
        <w:t>附件4</w:t>
      </w:r>
    </w:p>
    <w:p>
      <w:pPr>
        <w:spacing w:after="0" w:line="600" w:lineRule="exact"/>
        <w:ind w:firstLine="420" w:firstLineChars="200"/>
        <w:rPr>
          <w:shd w:val="clear" w:fill="auto"/>
        </w:rPr>
      </w:pPr>
    </w:p>
    <w:p>
      <w:pPr>
        <w:spacing w:after="0" w:line="600" w:lineRule="exact"/>
        <w:ind w:firstLine="880" w:firstLineChars="200"/>
        <w:jc w:val="center"/>
        <w:rPr>
          <w:rFonts w:ascii="方正小标宋简体" w:hAnsi="方正小标宋简体" w:eastAsia="方正小标宋简体" w:cs="方正小标宋简体"/>
          <w:sz w:val="44"/>
          <w:szCs w:val="44"/>
          <w:shd w:val="clear" w:fill="auto"/>
        </w:rPr>
      </w:pPr>
      <w:r>
        <w:rPr>
          <w:rFonts w:hint="eastAsia" w:ascii="方正小标宋简体" w:hAnsi="方正小标宋简体" w:eastAsia="方正小标宋简体" w:cs="方正小标宋简体"/>
          <w:sz w:val="44"/>
          <w:szCs w:val="44"/>
          <w:shd w:val="clear" w:fill="auto"/>
        </w:rPr>
        <w:t>新建项目储备配额分配和发放</w:t>
      </w:r>
    </w:p>
    <w:p>
      <w:pPr>
        <w:spacing w:after="0" w:line="600" w:lineRule="exact"/>
        <w:ind w:firstLine="642" w:firstLineChars="200"/>
        <w:jc w:val="center"/>
        <w:rPr>
          <w:rFonts w:ascii="方正小标宋简体" w:hAnsi="方正小标宋简体" w:eastAsia="方正小标宋简体" w:cs="方正小标宋简体"/>
          <w:b/>
          <w:bCs/>
          <w:sz w:val="32"/>
          <w:szCs w:val="32"/>
          <w:shd w:val="clear" w:fill="auto"/>
        </w:rPr>
      </w:pPr>
    </w:p>
    <w:p>
      <w:pPr>
        <w:pStyle w:val="2"/>
        <w:spacing w:before="0" w:after="0" w:line="560" w:lineRule="exact"/>
        <w:ind w:firstLine="640" w:firstLineChars="200"/>
        <w:rPr>
          <w:rFonts w:ascii="黑体" w:hAnsi="黑体" w:eastAsia="黑体" w:cs="黑体"/>
          <w:b w:val="0"/>
          <w:bCs w:val="0"/>
          <w:kern w:val="0"/>
          <w:szCs w:val="32"/>
          <w:shd w:val="clear" w:fill="auto"/>
        </w:rPr>
      </w:pPr>
      <w:r>
        <w:rPr>
          <w:rFonts w:hint="eastAsia" w:ascii="黑体" w:hAnsi="黑体" w:eastAsia="黑体" w:cs="黑体"/>
          <w:b w:val="0"/>
          <w:bCs w:val="0"/>
          <w:kern w:val="0"/>
          <w:sz w:val="32"/>
          <w:szCs w:val="32"/>
          <w:shd w:val="clear" w:fill="auto"/>
        </w:rPr>
        <w:t>一、申请条件</w:t>
      </w:r>
    </w:p>
    <w:p>
      <w:pPr>
        <w:spacing w:after="0" w:line="560" w:lineRule="exact"/>
        <w:ind w:firstLine="640" w:firstLineChars="200"/>
        <w:rPr>
          <w:rFonts w:ascii="仿宋_GB2312" w:hAnsi="仿宋_GB2312" w:eastAsia="仿宋_GB2312" w:cs="仿宋_GB2312"/>
          <w:sz w:val="32"/>
          <w:szCs w:val="32"/>
          <w:shd w:val="clear" w:fill="auto"/>
        </w:rPr>
      </w:pPr>
      <w:r>
        <w:rPr>
          <w:rFonts w:hint="eastAsia" w:ascii="仿宋_GB2312" w:hAnsi="仿宋_GB2312" w:eastAsia="仿宋_GB2312" w:cs="仿宋_GB2312"/>
          <w:sz w:val="32"/>
          <w:szCs w:val="32"/>
          <w:shd w:val="clear" w:fill="auto"/>
        </w:rPr>
        <w:t xml:space="preserve">重点排放单位新建固定资产投资项目年排放量达到三千吨二氧化碳当量，应当在项目竣工验收前向市生态环境主管部门申请发放新建项目储备配额。 </w:t>
      </w:r>
    </w:p>
    <w:p>
      <w:pPr>
        <w:pStyle w:val="2"/>
        <w:spacing w:before="0" w:after="0" w:line="560" w:lineRule="exact"/>
        <w:ind w:firstLine="640" w:firstLineChars="200"/>
        <w:rPr>
          <w:rFonts w:ascii="黑体" w:hAnsi="黑体" w:eastAsia="黑体" w:cs="黑体"/>
          <w:b w:val="0"/>
          <w:bCs w:val="0"/>
          <w:kern w:val="0"/>
          <w:szCs w:val="32"/>
          <w:shd w:val="clear" w:fill="auto"/>
        </w:rPr>
      </w:pPr>
      <w:r>
        <w:rPr>
          <w:rFonts w:hint="eastAsia" w:ascii="黑体" w:hAnsi="黑体" w:eastAsia="黑体" w:cs="黑体"/>
          <w:b w:val="0"/>
          <w:bCs w:val="0"/>
          <w:kern w:val="0"/>
          <w:sz w:val="32"/>
          <w:szCs w:val="32"/>
          <w:shd w:val="clear" w:fill="auto"/>
        </w:rPr>
        <w:t>二、分配方法</w:t>
      </w:r>
    </w:p>
    <w:p>
      <w:pPr>
        <w:pStyle w:val="4"/>
        <w:spacing w:before="0" w:after="0" w:line="560" w:lineRule="exact"/>
        <w:ind w:firstLine="640" w:firstLineChars="200"/>
        <w:rPr>
          <w:rFonts w:ascii="楷体_GB2312" w:hAnsi="楷体_GB2312" w:eastAsia="楷体_GB2312" w:cs="楷体_GB2312"/>
          <w:b w:val="0"/>
          <w:kern w:val="0"/>
          <w:shd w:val="clear" w:fill="auto"/>
        </w:rPr>
      </w:pPr>
      <w:r>
        <w:rPr>
          <w:rFonts w:hint="eastAsia" w:ascii="楷体_GB2312" w:hAnsi="楷体_GB2312" w:eastAsia="楷体_GB2312" w:cs="楷体_GB2312"/>
          <w:b w:val="0"/>
          <w:kern w:val="0"/>
          <w:shd w:val="clear" w:fill="auto"/>
        </w:rPr>
        <w:t>（一）供电、供水、供气行业</w:t>
      </w:r>
    </w:p>
    <w:p>
      <w:pPr>
        <w:autoSpaceDE w:val="0"/>
        <w:autoSpaceDN w:val="0"/>
        <w:adjustRightInd w:val="0"/>
        <w:spacing w:after="0" w:line="560" w:lineRule="exact"/>
        <w:ind w:firstLine="640" w:firstLineChars="200"/>
        <w:rPr>
          <w:rFonts w:ascii="仿宋_GB2312" w:hAnsi="仿宋_GB2312" w:eastAsia="仿宋_GB2312" w:cs="仿宋_GB2312"/>
          <w:sz w:val="32"/>
          <w:szCs w:val="32"/>
          <w:shd w:val="clear" w:fill="auto"/>
        </w:rPr>
      </w:pPr>
      <w:r>
        <w:rPr>
          <w:rFonts w:hint="eastAsia" w:ascii="仿宋_GB2312" w:hAnsi="仿宋_GB2312" w:eastAsia="仿宋_GB2312" w:cs="仿宋_GB2312"/>
          <w:sz w:val="32"/>
          <w:szCs w:val="32"/>
          <w:shd w:val="clear" w:fill="auto"/>
        </w:rPr>
        <w:t>供电、供水、供气行业新建项目储备配额分配采用基准强度法。</w:t>
      </w:r>
    </w:p>
    <w:p>
      <w:pPr>
        <w:autoSpaceDE w:val="0"/>
        <w:autoSpaceDN w:val="0"/>
        <w:adjustRightInd w:val="0"/>
        <w:spacing w:after="0" w:line="560" w:lineRule="exact"/>
        <w:ind w:firstLine="640" w:firstLineChars="200"/>
        <w:rPr>
          <w:rFonts w:ascii="仿宋_GB2312" w:hAnsi="仿宋_GB2312" w:eastAsia="仿宋_GB2312" w:cs="仿宋_GB2312"/>
          <w:sz w:val="32"/>
          <w:szCs w:val="32"/>
          <w:shd w:val="clear" w:fill="auto"/>
        </w:rPr>
      </w:pPr>
      <w:r>
        <w:rPr>
          <w:rFonts w:hint="eastAsia" w:ascii="仿宋_GB2312" w:hAnsi="仿宋_GB2312" w:eastAsia="仿宋_GB2312" w:cs="仿宋_GB2312"/>
          <w:sz w:val="32"/>
          <w:szCs w:val="32"/>
          <w:shd w:val="clear" w:fill="auto"/>
        </w:rPr>
        <w:t>重点排放单位新建项目年度储备配额</w:t>
      </w:r>
      <w:r>
        <w:rPr>
          <w:rFonts w:ascii="仿宋_GB2312" w:hAnsi="仿宋_GB2312" w:eastAsia="仿宋_GB2312" w:cs="仿宋_GB2312"/>
          <w:sz w:val="32"/>
          <w:szCs w:val="32"/>
          <w:shd w:val="clear" w:fill="auto"/>
        </w:rPr>
        <w:t>=</w:t>
      </w:r>
      <w:r>
        <w:rPr>
          <w:rFonts w:hint="eastAsia" w:ascii="仿宋_GB2312" w:hAnsi="仿宋_GB2312" w:eastAsia="仿宋_GB2312" w:cs="仿宋_GB2312"/>
          <w:sz w:val="32"/>
          <w:szCs w:val="32"/>
          <w:shd w:val="clear" w:fill="auto"/>
        </w:rPr>
        <w:t>所属行业2024年度基准碳强度</w:t>
      </w:r>
      <w:r>
        <w:rPr>
          <w:rFonts w:hint="eastAsia" w:ascii="仿宋_GB2312" w:hAnsi="仿宋_GB2312" w:eastAsia="仿宋_GB2312" w:cs="仿宋_GB2312"/>
          <w:kern w:val="0"/>
          <w:sz w:val="32"/>
          <w:szCs w:val="32"/>
          <w:shd w:val="clear" w:fill="auto"/>
        </w:rPr>
        <w:t>×新建项目</w:t>
      </w:r>
      <w:r>
        <w:rPr>
          <w:rFonts w:hint="eastAsia" w:ascii="仿宋_GB2312" w:hAnsi="仿宋_GB2312" w:eastAsia="仿宋_GB2312" w:cs="仿宋_GB2312"/>
          <w:sz w:val="32"/>
          <w:szCs w:val="32"/>
          <w:shd w:val="clear" w:fill="auto"/>
        </w:rPr>
        <w:t>2024</w:t>
      </w:r>
      <w:r>
        <w:rPr>
          <w:rFonts w:hint="eastAsia" w:ascii="仿宋_GB2312" w:hAnsi="仿宋_GB2312" w:eastAsia="仿宋_GB2312" w:cs="仿宋_GB2312"/>
          <w:kern w:val="0"/>
          <w:sz w:val="32"/>
          <w:szCs w:val="32"/>
          <w:shd w:val="clear" w:fill="auto"/>
        </w:rPr>
        <w:t>年度产出</w:t>
      </w:r>
    </w:p>
    <w:p>
      <w:pPr>
        <w:autoSpaceDE w:val="0"/>
        <w:autoSpaceDN w:val="0"/>
        <w:adjustRightInd w:val="0"/>
        <w:spacing w:after="0" w:line="560" w:lineRule="exact"/>
        <w:ind w:firstLine="640" w:firstLineChars="200"/>
        <w:rPr>
          <w:rFonts w:ascii="仿宋_GB2312" w:hAnsi="仿宋_GB2312" w:eastAsia="仿宋_GB2312" w:cs="仿宋_GB2312"/>
          <w:kern w:val="0"/>
          <w:sz w:val="32"/>
          <w:szCs w:val="32"/>
          <w:shd w:val="clear" w:fill="auto"/>
        </w:rPr>
      </w:pPr>
      <w:r>
        <w:rPr>
          <w:rFonts w:hint="eastAsia" w:ascii="仿宋_GB2312" w:hAnsi="仿宋_GB2312" w:eastAsia="仿宋_GB2312" w:cs="仿宋_GB2312"/>
          <w:kern w:val="0"/>
          <w:sz w:val="32"/>
          <w:szCs w:val="32"/>
          <w:shd w:val="clear" w:fill="auto"/>
        </w:rPr>
        <w:t>其中，新建项目年度产出指新建项目年度供电量、供水量、供气量。</w:t>
      </w:r>
    </w:p>
    <w:p>
      <w:pPr>
        <w:pStyle w:val="4"/>
        <w:spacing w:before="0" w:after="0" w:line="560" w:lineRule="exact"/>
        <w:ind w:firstLine="640" w:firstLineChars="200"/>
        <w:rPr>
          <w:rFonts w:ascii="楷体_GB2312" w:hAnsi="楷体_GB2312" w:eastAsia="楷体_GB2312" w:cs="楷体_GB2312"/>
          <w:b w:val="0"/>
          <w:kern w:val="0"/>
          <w:shd w:val="clear" w:fill="auto"/>
        </w:rPr>
      </w:pPr>
      <w:r>
        <w:rPr>
          <w:rFonts w:hint="eastAsia" w:ascii="楷体_GB2312" w:hAnsi="楷体_GB2312" w:eastAsia="楷体_GB2312" w:cs="楷体_GB2312"/>
          <w:b w:val="0"/>
          <w:kern w:val="0"/>
          <w:shd w:val="clear" w:fill="auto"/>
        </w:rPr>
        <w:t>（二）其他行业</w:t>
      </w:r>
    </w:p>
    <w:p>
      <w:pPr>
        <w:autoSpaceDE w:val="0"/>
        <w:autoSpaceDN w:val="0"/>
        <w:adjustRightInd w:val="0"/>
        <w:spacing w:after="0" w:line="560" w:lineRule="exact"/>
        <w:ind w:firstLine="640" w:firstLineChars="200"/>
        <w:rPr>
          <w:rFonts w:ascii="仿宋_GB2312" w:hAnsi="仿宋_GB2312" w:eastAsia="仿宋_GB2312" w:cs="仿宋_GB2312"/>
          <w:sz w:val="32"/>
          <w:szCs w:val="32"/>
          <w:shd w:val="clear" w:fill="auto"/>
        </w:rPr>
      </w:pPr>
      <w:r>
        <w:rPr>
          <w:rFonts w:hint="eastAsia" w:ascii="仿宋_GB2312" w:hAnsi="仿宋_GB2312" w:eastAsia="仿宋_GB2312" w:cs="仿宋_GB2312"/>
          <w:sz w:val="32"/>
          <w:szCs w:val="32"/>
          <w:shd w:val="clear" w:fill="auto"/>
        </w:rPr>
        <w:t>其他行业新建项目储备配额分配采用先进强度法。</w:t>
      </w:r>
    </w:p>
    <w:p>
      <w:pPr>
        <w:spacing w:after="0" w:line="560" w:lineRule="exact"/>
        <w:ind w:firstLine="640" w:firstLineChars="200"/>
        <w:rPr>
          <w:rFonts w:ascii="仿宋_GB2312" w:hAnsi="仿宋_GB2312" w:eastAsia="仿宋_GB2312" w:cs="仿宋_GB2312"/>
          <w:sz w:val="32"/>
          <w:szCs w:val="32"/>
          <w:shd w:val="clear" w:fill="auto"/>
        </w:rPr>
      </w:pPr>
      <w:r>
        <w:rPr>
          <w:rFonts w:hint="eastAsia" w:ascii="仿宋_GB2312" w:hAnsi="仿宋_GB2312" w:eastAsia="仿宋_GB2312" w:cs="仿宋_GB2312"/>
          <w:sz w:val="32"/>
          <w:szCs w:val="32"/>
          <w:shd w:val="clear" w:fill="auto"/>
        </w:rPr>
        <w:t>1. 数据中心、公交、地铁、危险废物处理、固体废物处理、污泥处理、污水处理、港口码头、平板显示、信息化学品及其他专用化学品、制造业及其他行业</w:t>
      </w:r>
    </w:p>
    <w:p>
      <w:pPr>
        <w:autoSpaceDE w:val="0"/>
        <w:autoSpaceDN w:val="0"/>
        <w:adjustRightInd w:val="0"/>
        <w:spacing w:after="0" w:line="560" w:lineRule="exact"/>
        <w:ind w:firstLine="640" w:firstLineChars="200"/>
        <w:rPr>
          <w:rFonts w:ascii="仿宋_GB2312" w:hAnsi="仿宋_GB2312" w:eastAsia="仿宋_GB2312" w:cs="仿宋_GB2312"/>
          <w:sz w:val="32"/>
          <w:szCs w:val="32"/>
          <w:shd w:val="clear" w:fill="auto"/>
        </w:rPr>
      </w:pPr>
      <w:r>
        <w:rPr>
          <w:rFonts w:hint="eastAsia" w:ascii="仿宋_GB2312" w:hAnsi="仿宋_GB2312" w:eastAsia="仿宋_GB2312" w:cs="仿宋_GB2312"/>
          <w:sz w:val="32"/>
          <w:szCs w:val="32"/>
          <w:shd w:val="clear" w:fill="auto"/>
        </w:rPr>
        <w:t>重点排放单位新建项目年度储备配额</w:t>
      </w:r>
      <w:r>
        <w:rPr>
          <w:rFonts w:ascii="仿宋_GB2312" w:hAnsi="仿宋_GB2312" w:eastAsia="仿宋_GB2312" w:cs="仿宋_GB2312"/>
          <w:sz w:val="32"/>
          <w:szCs w:val="32"/>
          <w:shd w:val="clear" w:fill="auto"/>
        </w:rPr>
        <w:t>=新建项目</w:t>
      </w:r>
      <w:r>
        <w:rPr>
          <w:rFonts w:hint="eastAsia" w:ascii="仿宋_GB2312" w:hAnsi="仿宋_GB2312" w:eastAsia="仿宋_GB2312" w:cs="仿宋_GB2312"/>
          <w:sz w:val="32"/>
          <w:szCs w:val="32"/>
          <w:shd w:val="clear" w:fill="auto"/>
        </w:rPr>
        <w:t>2024年度先进碳强度</w:t>
      </w:r>
      <w:r>
        <w:rPr>
          <w:rFonts w:hint="eastAsia" w:ascii="仿宋_GB2312" w:hAnsi="仿宋_GB2312" w:eastAsia="仿宋_GB2312" w:cs="仿宋_GB2312"/>
          <w:kern w:val="0"/>
          <w:sz w:val="32"/>
          <w:szCs w:val="32"/>
          <w:shd w:val="clear" w:fill="auto"/>
        </w:rPr>
        <w:t>×新建项目</w:t>
      </w:r>
      <w:r>
        <w:rPr>
          <w:rFonts w:hint="eastAsia" w:ascii="仿宋_GB2312" w:hAnsi="仿宋_GB2312" w:eastAsia="仿宋_GB2312" w:cs="仿宋_GB2312"/>
          <w:sz w:val="32"/>
          <w:szCs w:val="32"/>
          <w:shd w:val="clear" w:fill="auto"/>
        </w:rPr>
        <w:t>2024</w:t>
      </w:r>
      <w:r>
        <w:rPr>
          <w:rFonts w:hint="eastAsia" w:ascii="仿宋_GB2312" w:hAnsi="仿宋_GB2312" w:eastAsia="仿宋_GB2312" w:cs="仿宋_GB2312"/>
          <w:kern w:val="0"/>
          <w:sz w:val="32"/>
          <w:szCs w:val="32"/>
          <w:shd w:val="clear" w:fill="auto"/>
        </w:rPr>
        <w:t>年度经济产出</w:t>
      </w:r>
    </w:p>
    <w:p>
      <w:pPr>
        <w:spacing w:after="0" w:line="560" w:lineRule="exact"/>
        <w:ind w:firstLine="640" w:firstLineChars="200"/>
        <w:rPr>
          <w:rFonts w:ascii="仿宋_GB2312" w:hAnsi="仿宋_GB2312" w:eastAsia="仿宋_GB2312" w:cs="仿宋_GB2312"/>
          <w:sz w:val="32"/>
          <w:szCs w:val="32"/>
          <w:shd w:val="clear" w:fill="auto"/>
        </w:rPr>
      </w:pPr>
      <w:r>
        <w:rPr>
          <w:rFonts w:hint="eastAsia" w:ascii="仿宋_GB2312" w:hAnsi="仿宋_GB2312" w:eastAsia="仿宋_GB2312" w:cs="仿宋_GB2312"/>
          <w:sz w:val="32"/>
          <w:szCs w:val="32"/>
          <w:shd w:val="clear" w:fill="auto"/>
        </w:rPr>
        <w:t>数据中心行业新建项目</w:t>
      </w:r>
      <w:r>
        <w:rPr>
          <w:rFonts w:ascii="仿宋_GB2312" w:hAnsi="仿宋_GB2312" w:eastAsia="仿宋_GB2312" w:cs="仿宋_GB2312"/>
          <w:sz w:val="32"/>
          <w:szCs w:val="32"/>
          <w:shd w:val="clear" w:fill="auto"/>
        </w:rPr>
        <w:t>2024年度先进碳强度为1.186吨/IT设备ＭＷh耗电量</w:t>
      </w:r>
      <w:r>
        <w:rPr>
          <w:rFonts w:hint="eastAsia" w:ascii="仿宋_GB2312" w:hAnsi="仿宋_GB2312" w:eastAsia="仿宋_GB2312" w:cs="仿宋_GB2312"/>
          <w:sz w:val="32"/>
          <w:szCs w:val="32"/>
          <w:shd w:val="clear" w:fill="auto"/>
        </w:rPr>
        <w:t>。其他行业新建项目先进碳强度为2024年度该新建项目所在行业最先进10%重点排放单位年度目标碳强度的加权平均值；如加权平均值高于该新建项目所在重点排放单位2024年度目标碳强度时，取其所在重点排放单位2024年度目标碳强度作为该新建项目先进碳强度。</w:t>
      </w:r>
    </w:p>
    <w:p>
      <w:pPr>
        <w:pStyle w:val="18"/>
        <w:numPr>
          <w:ilvl w:val="0"/>
          <w:numId w:val="0"/>
        </w:numPr>
        <w:spacing w:after="0" w:line="560" w:lineRule="exact"/>
        <w:ind w:firstLine="640" w:firstLineChars="200"/>
        <w:rPr>
          <w:rFonts w:ascii="仿宋_GB2312" w:hAnsi="仿宋_GB2312" w:eastAsia="仿宋_GB2312" w:cs="仿宋_GB2312"/>
          <w:sz w:val="32"/>
          <w:szCs w:val="32"/>
          <w:shd w:val="clear" w:fill="auto"/>
        </w:rPr>
      </w:pPr>
      <w:r>
        <w:rPr>
          <w:rFonts w:hint="eastAsia" w:ascii="仿宋_GB2312" w:hAnsi="仿宋_GB2312" w:eastAsia="仿宋_GB2312" w:cs="仿宋_GB2312"/>
          <w:sz w:val="32"/>
          <w:szCs w:val="32"/>
          <w:shd w:val="clear" w:fill="auto"/>
          <w:lang w:val="en-US" w:eastAsia="zh-CN"/>
        </w:rPr>
        <w:t>2.</w:t>
      </w:r>
      <w:r>
        <w:rPr>
          <w:rFonts w:hint="eastAsia" w:ascii="仿宋_GB2312" w:hAnsi="仿宋_GB2312" w:eastAsia="仿宋_GB2312" w:cs="仿宋_GB2312"/>
          <w:sz w:val="32"/>
          <w:szCs w:val="32"/>
          <w:shd w:val="clear" w:fill="auto"/>
        </w:rPr>
        <w:t>住宿餐饮、批发和零售、仓储邮政、软件和信息服务等服务行业以及高校、机关事业单位</w:t>
      </w:r>
    </w:p>
    <w:p>
      <w:pPr>
        <w:autoSpaceDE w:val="0"/>
        <w:autoSpaceDN w:val="0"/>
        <w:adjustRightInd w:val="0"/>
        <w:spacing w:after="0" w:line="560" w:lineRule="exact"/>
        <w:ind w:firstLine="640" w:firstLineChars="200"/>
        <w:rPr>
          <w:rFonts w:ascii="仿宋_GB2312" w:hAnsi="仿宋_GB2312" w:eastAsia="仿宋_GB2312" w:cs="仿宋_GB2312"/>
          <w:sz w:val="32"/>
          <w:szCs w:val="32"/>
          <w:shd w:val="clear" w:fill="auto"/>
        </w:rPr>
      </w:pPr>
      <w:r>
        <w:rPr>
          <w:rFonts w:hint="eastAsia" w:ascii="仿宋_GB2312" w:hAnsi="仿宋_GB2312" w:eastAsia="仿宋_GB2312" w:cs="仿宋_GB2312"/>
          <w:sz w:val="32"/>
          <w:szCs w:val="32"/>
          <w:shd w:val="clear" w:fill="auto"/>
        </w:rPr>
        <w:t>重点排放单位新建项目年度储备配额</w:t>
      </w:r>
      <w:r>
        <w:rPr>
          <w:rFonts w:ascii="仿宋_GB2312" w:hAnsi="仿宋_GB2312" w:eastAsia="仿宋_GB2312" w:cs="仿宋_GB2312"/>
          <w:sz w:val="32"/>
          <w:szCs w:val="32"/>
          <w:shd w:val="clear" w:fill="auto"/>
        </w:rPr>
        <w:t>=新建项目</w:t>
      </w:r>
      <w:r>
        <w:rPr>
          <w:rFonts w:hint="eastAsia" w:ascii="仿宋_GB2312" w:hAnsi="仿宋_GB2312" w:eastAsia="仿宋_GB2312" w:cs="仿宋_GB2312"/>
          <w:sz w:val="32"/>
          <w:szCs w:val="32"/>
          <w:shd w:val="clear" w:fill="auto"/>
        </w:rPr>
        <w:t>所属建筑类型</w:t>
      </w:r>
      <w:r>
        <w:rPr>
          <w:rFonts w:ascii="仿宋_GB2312" w:hAnsi="仿宋_GB2312" w:eastAsia="仿宋_GB2312" w:cs="仿宋_GB2312"/>
          <w:sz w:val="32"/>
          <w:szCs w:val="32"/>
          <w:shd w:val="clear" w:fill="auto"/>
        </w:rPr>
        <w:t>2024</w:t>
      </w:r>
      <w:r>
        <w:rPr>
          <w:rFonts w:hint="eastAsia" w:ascii="仿宋_GB2312" w:hAnsi="仿宋_GB2312" w:eastAsia="仿宋_GB2312" w:cs="仿宋_GB2312"/>
          <w:sz w:val="32"/>
          <w:szCs w:val="32"/>
          <w:shd w:val="clear" w:fill="auto"/>
        </w:rPr>
        <w:t>年度先进碳强度</w:t>
      </w:r>
      <w:r>
        <w:rPr>
          <w:rFonts w:hint="eastAsia" w:ascii="仿宋_GB2312" w:hAnsi="仿宋_GB2312" w:eastAsia="仿宋_GB2312" w:cs="仿宋_GB2312"/>
          <w:kern w:val="0"/>
          <w:sz w:val="32"/>
          <w:szCs w:val="32"/>
          <w:shd w:val="clear" w:fill="auto"/>
        </w:rPr>
        <w:t>×新建项目</w:t>
      </w:r>
      <w:r>
        <w:rPr>
          <w:rFonts w:ascii="仿宋_GB2312" w:hAnsi="仿宋_GB2312" w:eastAsia="仿宋_GB2312" w:cs="仿宋_GB2312"/>
          <w:kern w:val="0"/>
          <w:sz w:val="32"/>
          <w:szCs w:val="32"/>
          <w:shd w:val="clear" w:fill="auto"/>
        </w:rPr>
        <w:t>2024年度</w:t>
      </w:r>
      <w:r>
        <w:rPr>
          <w:rFonts w:hint="eastAsia" w:ascii="仿宋_GB2312" w:hAnsi="仿宋_GB2312" w:eastAsia="仿宋_GB2312" w:cs="仿宋_GB2312"/>
          <w:kern w:val="0"/>
          <w:sz w:val="32"/>
          <w:szCs w:val="32"/>
          <w:shd w:val="clear" w:fill="auto"/>
        </w:rPr>
        <w:t>新增指标</w:t>
      </w:r>
    </w:p>
    <w:p>
      <w:pPr>
        <w:spacing w:after="0" w:line="560" w:lineRule="exact"/>
        <w:ind w:firstLine="640" w:firstLineChars="200"/>
        <w:rPr>
          <w:rFonts w:ascii="仿宋_GB2312" w:hAnsi="仿宋_GB2312" w:eastAsia="仿宋_GB2312" w:cs="仿宋_GB2312"/>
          <w:sz w:val="32"/>
          <w:szCs w:val="32"/>
          <w:shd w:val="clear" w:fill="auto"/>
        </w:rPr>
      </w:pPr>
      <w:r>
        <w:rPr>
          <w:rFonts w:hint="eastAsia" w:ascii="仿宋_GB2312" w:hAnsi="仿宋_GB2312" w:eastAsia="仿宋_GB2312" w:cs="仿宋_GB2312"/>
          <w:sz w:val="32"/>
          <w:szCs w:val="32"/>
          <w:shd w:val="clear" w:fill="auto"/>
        </w:rPr>
        <w:t>其中，</w:t>
      </w:r>
      <w:r>
        <w:rPr>
          <w:rFonts w:hint="eastAsia" w:ascii="仿宋_GB2312" w:hAnsi="仿宋_GB2312" w:eastAsia="仿宋_GB2312" w:cs="仿宋_GB2312"/>
          <w:kern w:val="0"/>
          <w:sz w:val="32"/>
          <w:szCs w:val="32"/>
          <w:shd w:val="clear" w:fill="auto"/>
        </w:rPr>
        <w:t>新增指标包括</w:t>
      </w:r>
      <w:r>
        <w:rPr>
          <w:rFonts w:hint="eastAsia" w:ascii="仿宋_GB2312" w:hAnsi="仿宋_GB2312" w:eastAsia="仿宋_GB2312" w:cs="仿宋_GB2312"/>
          <w:sz w:val="32"/>
          <w:szCs w:val="32"/>
          <w:shd w:val="clear" w:fill="auto"/>
        </w:rPr>
        <w:t>新建建筑面积、新增使用建筑面积等，视具体行业类型进行确定；不同建筑类型2</w:t>
      </w:r>
      <w:r>
        <w:rPr>
          <w:rFonts w:ascii="仿宋_GB2312" w:hAnsi="仿宋_GB2312" w:eastAsia="仿宋_GB2312" w:cs="仿宋_GB2312"/>
          <w:sz w:val="32"/>
          <w:szCs w:val="32"/>
          <w:shd w:val="clear" w:fill="auto"/>
        </w:rPr>
        <w:t>024</w:t>
      </w:r>
      <w:r>
        <w:rPr>
          <w:rFonts w:hint="eastAsia" w:ascii="仿宋_GB2312" w:hAnsi="仿宋_GB2312" w:eastAsia="仿宋_GB2312" w:cs="仿宋_GB2312"/>
          <w:sz w:val="32"/>
          <w:szCs w:val="32"/>
          <w:shd w:val="clear" w:fill="auto"/>
        </w:rPr>
        <w:t>年度先进碳强度将另行制定公布</w:t>
      </w:r>
      <w:r>
        <w:rPr>
          <w:rFonts w:ascii="仿宋_GB2312" w:hAnsi="仿宋_GB2312" w:eastAsia="仿宋_GB2312" w:cs="仿宋_GB2312"/>
          <w:sz w:val="32"/>
          <w:szCs w:val="32"/>
          <w:shd w:val="clear" w:fill="auto"/>
        </w:rPr>
        <w:t>。</w:t>
      </w:r>
    </w:p>
    <w:p>
      <w:pPr>
        <w:pStyle w:val="3"/>
        <w:spacing w:before="0" w:after="0" w:line="560" w:lineRule="exact"/>
        <w:ind w:firstLine="640" w:firstLineChars="200"/>
        <w:rPr>
          <w:rFonts w:ascii="黑体" w:hAnsi="黑体" w:eastAsia="黑体" w:cs="黑体"/>
          <w:b w:val="0"/>
          <w:bCs w:val="0"/>
          <w:kern w:val="0"/>
          <w:shd w:val="clear" w:fill="auto"/>
        </w:rPr>
      </w:pPr>
      <w:r>
        <w:rPr>
          <w:rFonts w:hint="eastAsia" w:ascii="黑体" w:hAnsi="黑体" w:eastAsia="黑体" w:cs="黑体"/>
          <w:b w:val="0"/>
          <w:bCs w:val="0"/>
          <w:kern w:val="0"/>
          <w:shd w:val="clear" w:fill="auto"/>
        </w:rPr>
        <w:t>三、配额发放</w:t>
      </w:r>
    </w:p>
    <w:p>
      <w:pPr>
        <w:spacing w:after="0" w:line="560" w:lineRule="exact"/>
        <w:ind w:firstLine="640" w:firstLineChars="200"/>
        <w:rPr>
          <w:rFonts w:ascii="仿宋_GB2312" w:hAnsi="仿宋_GB2312" w:eastAsia="仿宋_GB2312" w:cs="仿宋_GB2312"/>
          <w:kern w:val="0"/>
          <w:sz w:val="32"/>
          <w:szCs w:val="32"/>
          <w:shd w:val="clear" w:fill="auto"/>
        </w:rPr>
      </w:pPr>
      <w:r>
        <w:rPr>
          <w:rFonts w:hint="eastAsia" w:ascii="仿宋_GB2312" w:hAnsi="仿宋_GB2312" w:eastAsia="仿宋_GB2312" w:cs="仿宋_GB2312"/>
          <w:kern w:val="0"/>
          <w:sz w:val="32"/>
          <w:szCs w:val="32"/>
          <w:shd w:val="clear" w:fill="auto"/>
        </w:rPr>
        <w:t>2024年度新建项目储备配额全部免费发放。</w:t>
      </w:r>
      <w:r>
        <w:rPr>
          <w:rFonts w:hint="eastAsia" w:ascii="仿宋_GB2312" w:hAnsi="仿宋_GB2312" w:eastAsia="仿宋_GB2312" w:cs="仿宋_GB2312"/>
          <w:sz w:val="32"/>
          <w:szCs w:val="32"/>
          <w:shd w:val="clear" w:fill="auto"/>
        </w:rPr>
        <w:t>当年度新建项目储备配额全部申请发放完毕后，不再新增。</w:t>
      </w:r>
    </w:p>
    <w:p>
      <w:pPr>
        <w:autoSpaceDE w:val="0"/>
        <w:autoSpaceDN w:val="0"/>
        <w:adjustRightInd w:val="0"/>
        <w:spacing w:after="0" w:line="560" w:lineRule="exact"/>
        <w:rPr>
          <w:rFonts w:ascii="仿宋_GB2312" w:hAnsi="仿宋_GB2312" w:eastAsia="仿宋_GB2312" w:cs="仿宋_GB2312"/>
          <w:kern w:val="0"/>
          <w:sz w:val="32"/>
          <w:szCs w:val="32"/>
          <w:shd w:val="clear" w:fill="auto"/>
        </w:rPr>
      </w:pPr>
    </w:p>
    <w:p>
      <w:pPr>
        <w:spacing w:after="0" w:line="600" w:lineRule="exact"/>
        <w:ind w:firstLine="640" w:firstLineChars="200"/>
        <w:rPr>
          <w:rFonts w:ascii="黑体" w:hAnsi="黑体" w:eastAsia="黑体" w:cs="黑体"/>
          <w:b/>
          <w:bCs/>
          <w:sz w:val="32"/>
          <w:szCs w:val="28"/>
          <w:shd w:val="clear" w:fill="auto"/>
        </w:rPr>
      </w:pPr>
      <w:r>
        <w:rPr>
          <w:rFonts w:hint="eastAsia" w:ascii="黑体" w:hAnsi="黑体" w:eastAsia="黑体" w:cs="黑体"/>
          <w:sz w:val="32"/>
          <w:szCs w:val="28"/>
          <w:shd w:val="clear" w:fill="auto"/>
        </w:rPr>
        <w:br w:type="page"/>
      </w:r>
    </w:p>
    <w:p>
      <w:pPr>
        <w:pStyle w:val="2"/>
        <w:spacing w:before="0" w:after="0" w:line="600" w:lineRule="exact"/>
        <w:rPr>
          <w:rFonts w:ascii="黑体" w:hAnsi="黑体" w:eastAsia="黑体" w:cs="黑体"/>
          <w:b w:val="0"/>
          <w:bCs w:val="0"/>
          <w:kern w:val="2"/>
          <w:sz w:val="32"/>
          <w:szCs w:val="28"/>
          <w:shd w:val="clear" w:fill="auto"/>
        </w:rPr>
      </w:pPr>
      <w:r>
        <w:rPr>
          <w:rFonts w:hint="eastAsia" w:ascii="黑体" w:hAnsi="黑体" w:eastAsia="黑体" w:cs="黑体"/>
          <w:b w:val="0"/>
          <w:bCs w:val="0"/>
          <w:kern w:val="2"/>
          <w:sz w:val="32"/>
          <w:szCs w:val="28"/>
          <w:shd w:val="clear" w:fill="auto"/>
        </w:rPr>
        <w:t>附件5</w:t>
      </w:r>
    </w:p>
    <w:p>
      <w:pPr>
        <w:pStyle w:val="2"/>
        <w:spacing w:before="0" w:after="0" w:line="600" w:lineRule="exact"/>
        <w:rPr>
          <w:rFonts w:ascii="黑体" w:hAnsi="黑体" w:eastAsia="黑体" w:cs="黑体"/>
          <w:b w:val="0"/>
          <w:bCs w:val="0"/>
          <w:kern w:val="2"/>
          <w:sz w:val="32"/>
          <w:szCs w:val="28"/>
          <w:shd w:val="clear" w:fill="auto"/>
        </w:rPr>
      </w:pPr>
    </w:p>
    <w:p>
      <w:pPr>
        <w:spacing w:after="0" w:line="600" w:lineRule="exact"/>
        <w:ind w:firstLine="880" w:firstLineChars="200"/>
        <w:jc w:val="center"/>
        <w:rPr>
          <w:rFonts w:ascii="方正小标宋简体" w:hAnsi="方正小标宋简体" w:eastAsia="方正小标宋简体" w:cs="方正小标宋简体"/>
          <w:sz w:val="44"/>
          <w:szCs w:val="44"/>
          <w:shd w:val="clear" w:fill="auto"/>
        </w:rPr>
      </w:pPr>
      <w:r>
        <w:rPr>
          <w:rFonts w:hint="eastAsia" w:ascii="方正小标宋简体" w:hAnsi="方正小标宋简体" w:eastAsia="方正小标宋简体" w:cs="方正小标宋简体"/>
          <w:sz w:val="44"/>
          <w:szCs w:val="44"/>
          <w:shd w:val="clear" w:fill="auto"/>
        </w:rPr>
        <w:t>价格平抑储备配额发放方法</w:t>
      </w:r>
    </w:p>
    <w:p>
      <w:pPr>
        <w:spacing w:after="0" w:line="560" w:lineRule="exact"/>
        <w:ind w:firstLine="642" w:firstLineChars="200"/>
        <w:jc w:val="center"/>
        <w:rPr>
          <w:rFonts w:ascii="方正小标宋简体" w:hAnsi="方正小标宋简体" w:eastAsia="方正小标宋简体" w:cs="方正小标宋简体"/>
          <w:b/>
          <w:bCs/>
          <w:sz w:val="32"/>
          <w:szCs w:val="32"/>
          <w:shd w:val="clear" w:fill="auto"/>
        </w:rPr>
      </w:pPr>
    </w:p>
    <w:p>
      <w:pPr>
        <w:spacing w:after="0" w:line="560" w:lineRule="exact"/>
        <w:ind w:firstLine="640" w:firstLineChars="200"/>
        <w:rPr>
          <w:rFonts w:ascii="黑体" w:hAnsi="黑体" w:eastAsia="黑体" w:cs="黑体"/>
          <w:sz w:val="32"/>
          <w:szCs w:val="32"/>
          <w:shd w:val="clear" w:fill="auto"/>
        </w:rPr>
      </w:pPr>
      <w:r>
        <w:rPr>
          <w:rFonts w:hint="eastAsia" w:ascii="黑体" w:hAnsi="黑体" w:eastAsia="黑体" w:cs="黑体"/>
          <w:sz w:val="32"/>
          <w:szCs w:val="32"/>
          <w:shd w:val="clear" w:fill="auto"/>
        </w:rPr>
        <w:t>一、发放条件</w:t>
      </w:r>
    </w:p>
    <w:p>
      <w:pPr>
        <w:spacing w:after="0" w:line="560" w:lineRule="exact"/>
        <w:ind w:firstLine="640" w:firstLineChars="200"/>
        <w:rPr>
          <w:rFonts w:ascii="仿宋_GB2312" w:hAnsi="仿宋_GB2312" w:eastAsia="仿宋_GB2312" w:cs="仿宋_GB2312"/>
          <w:sz w:val="32"/>
          <w:szCs w:val="32"/>
          <w:shd w:val="clear" w:fill="auto"/>
        </w:rPr>
      </w:pPr>
      <w:r>
        <w:rPr>
          <w:rFonts w:hint="eastAsia" w:ascii="仿宋_GB2312" w:hAnsi="仿宋_GB2312" w:eastAsia="仿宋_GB2312" w:cs="仿宋_GB2312"/>
          <w:sz w:val="32"/>
          <w:szCs w:val="32"/>
          <w:shd w:val="clear" w:fill="auto"/>
        </w:rPr>
        <w:t>当出现深圳碳</w:t>
      </w:r>
      <w:r>
        <w:rPr>
          <w:rFonts w:ascii="仿宋_GB2312" w:hAnsi="仿宋_GB2312" w:eastAsia="仿宋_GB2312" w:cs="仿宋_GB2312"/>
          <w:sz w:val="32"/>
          <w:szCs w:val="32"/>
          <w:shd w:val="clear" w:fill="auto"/>
        </w:rPr>
        <w:t>市场配额价格大幅上涨</w:t>
      </w:r>
      <w:r>
        <w:rPr>
          <w:rFonts w:hint="eastAsia" w:ascii="仿宋_GB2312" w:hAnsi="仿宋_GB2312" w:eastAsia="仿宋_GB2312" w:cs="仿宋_GB2312"/>
          <w:sz w:val="32"/>
          <w:szCs w:val="32"/>
          <w:shd w:val="clear" w:fill="auto"/>
        </w:rPr>
        <w:t>或</w:t>
      </w:r>
      <w:r>
        <w:rPr>
          <w:rFonts w:ascii="仿宋_GB2312" w:hAnsi="仿宋_GB2312" w:eastAsia="仿宋_GB2312" w:cs="仿宋_GB2312"/>
          <w:sz w:val="32"/>
          <w:szCs w:val="32"/>
          <w:shd w:val="clear" w:fill="auto"/>
        </w:rPr>
        <w:t>市场流动配额数量过低</w:t>
      </w:r>
      <w:r>
        <w:rPr>
          <w:rFonts w:hint="eastAsia" w:ascii="仿宋_GB2312" w:hAnsi="仿宋_GB2312" w:eastAsia="仿宋_GB2312" w:cs="仿宋_GB2312"/>
          <w:sz w:val="32"/>
          <w:szCs w:val="32"/>
          <w:shd w:val="clear" w:fill="auto"/>
        </w:rPr>
        <w:t>的情形时</w:t>
      </w:r>
      <w:r>
        <w:rPr>
          <w:rFonts w:ascii="仿宋_GB2312" w:hAnsi="仿宋_GB2312" w:eastAsia="仿宋_GB2312" w:cs="仿宋_GB2312"/>
          <w:sz w:val="32"/>
          <w:szCs w:val="32"/>
          <w:shd w:val="clear" w:fill="auto"/>
        </w:rPr>
        <w:t>，市生态环境主管部门</w:t>
      </w:r>
      <w:r>
        <w:rPr>
          <w:rFonts w:hint="eastAsia" w:ascii="仿宋_GB2312" w:hAnsi="仿宋_GB2312" w:eastAsia="仿宋_GB2312" w:cs="仿宋_GB2312"/>
          <w:sz w:val="32"/>
          <w:szCs w:val="32"/>
          <w:shd w:val="clear" w:fill="auto"/>
        </w:rPr>
        <w:t>可以释放价格平抑储备配额。其中，市场配额价格大幅上涨情形指配额当日收盘价格高于全国或试点碳市场近</w:t>
      </w:r>
      <w:r>
        <w:rPr>
          <w:rFonts w:ascii="仿宋_GB2312" w:hAnsi="仿宋_GB2312" w:eastAsia="仿宋_GB2312" w:cs="仿宋_GB2312"/>
          <w:sz w:val="32"/>
          <w:szCs w:val="32"/>
          <w:shd w:val="clear" w:fill="auto"/>
        </w:rPr>
        <w:t>12个月中每日收盘价的最高价，且出现近6个月配额均价达到近24个月配额均价的3倍以上（包含）或近1周配额均价达到近24周中最低周均价的3倍以上（包含）的情形</w:t>
      </w:r>
      <w:r>
        <w:rPr>
          <w:rFonts w:hint="eastAsia" w:ascii="仿宋_GB2312" w:hAnsi="仿宋_GB2312" w:eastAsia="仿宋_GB2312" w:cs="仿宋_GB2312"/>
          <w:sz w:val="32"/>
          <w:szCs w:val="32"/>
          <w:shd w:val="clear" w:fill="auto"/>
        </w:rPr>
        <w:t>。</w:t>
      </w:r>
      <w:r>
        <w:rPr>
          <w:rFonts w:ascii="仿宋_GB2312" w:hAnsi="仿宋_GB2312" w:eastAsia="仿宋_GB2312" w:cs="仿宋_GB2312"/>
          <w:sz w:val="32"/>
          <w:szCs w:val="32"/>
          <w:shd w:val="clear" w:fill="auto"/>
        </w:rPr>
        <w:t>市场流动配额数量过低</w:t>
      </w:r>
      <w:r>
        <w:rPr>
          <w:rFonts w:hint="eastAsia" w:ascii="仿宋_GB2312" w:hAnsi="仿宋_GB2312" w:eastAsia="仿宋_GB2312" w:cs="仿宋_GB2312"/>
          <w:sz w:val="32"/>
          <w:szCs w:val="32"/>
          <w:shd w:val="clear" w:fill="auto"/>
        </w:rPr>
        <w:t>情形指</w:t>
      </w:r>
      <w:r>
        <w:rPr>
          <w:rFonts w:ascii="仿宋_GB2312" w:hAnsi="仿宋_GB2312" w:eastAsia="仿宋_GB2312" w:cs="仿宋_GB2312"/>
          <w:sz w:val="32"/>
          <w:szCs w:val="32"/>
          <w:shd w:val="clear" w:fill="auto"/>
        </w:rPr>
        <w:t>上年度履约工作完成后市场流动配额低于当年年度配额总量20%</w:t>
      </w:r>
      <w:r>
        <w:rPr>
          <w:rFonts w:hint="eastAsia" w:ascii="仿宋_GB2312" w:hAnsi="仿宋_GB2312" w:eastAsia="仿宋_GB2312" w:cs="仿宋_GB2312"/>
          <w:sz w:val="32"/>
          <w:szCs w:val="32"/>
          <w:shd w:val="clear" w:fill="auto"/>
        </w:rPr>
        <w:t>的情形。</w:t>
      </w:r>
    </w:p>
    <w:p>
      <w:pPr>
        <w:spacing w:after="0" w:line="560" w:lineRule="exact"/>
        <w:ind w:firstLine="640" w:firstLineChars="200"/>
        <w:rPr>
          <w:rFonts w:ascii="黑体" w:hAnsi="黑体" w:eastAsia="黑体" w:cs="黑体"/>
          <w:sz w:val="32"/>
          <w:szCs w:val="32"/>
          <w:shd w:val="clear" w:fill="auto"/>
        </w:rPr>
      </w:pPr>
      <w:r>
        <w:rPr>
          <w:rFonts w:hint="eastAsia" w:ascii="黑体" w:hAnsi="黑体" w:eastAsia="黑体" w:cs="黑体"/>
          <w:sz w:val="32"/>
          <w:szCs w:val="32"/>
          <w:shd w:val="clear" w:fill="auto"/>
        </w:rPr>
        <w:t>二、发放方式</w:t>
      </w:r>
    </w:p>
    <w:p>
      <w:pPr>
        <w:spacing w:after="0" w:line="560" w:lineRule="exact"/>
        <w:ind w:firstLine="640" w:firstLineChars="200"/>
        <w:rPr>
          <w:rFonts w:ascii="仿宋_GB2312" w:hAnsi="仿宋_GB2312" w:eastAsia="仿宋_GB2312" w:cs="仿宋_GB2312"/>
          <w:sz w:val="32"/>
          <w:szCs w:val="32"/>
          <w:shd w:val="clear" w:fill="auto"/>
        </w:rPr>
      </w:pPr>
      <w:r>
        <w:rPr>
          <w:rFonts w:hint="eastAsia" w:ascii="仿宋_GB2312" w:hAnsi="仿宋_GB2312" w:eastAsia="仿宋_GB2312" w:cs="仿宋_GB2312"/>
          <w:sz w:val="32"/>
          <w:szCs w:val="32"/>
          <w:shd w:val="clear" w:fill="auto"/>
        </w:rPr>
        <w:t>价格平抑储备配额采用拍卖（竞价）方式出售，只能由重点排放单位购买用于履约，不能用于市场交易。</w:t>
      </w:r>
    </w:p>
    <w:p>
      <w:pPr>
        <w:spacing w:after="0" w:line="560" w:lineRule="exact"/>
        <w:ind w:firstLine="640" w:firstLineChars="200"/>
        <w:rPr>
          <w:rFonts w:ascii="仿宋_GB2312" w:hAnsi="仿宋_GB2312" w:eastAsia="仿宋_GB2312" w:cs="仿宋_GB2312"/>
          <w:sz w:val="32"/>
          <w:szCs w:val="32"/>
          <w:shd w:val="clear" w:fill="auto"/>
        </w:rPr>
      </w:pPr>
      <w:r>
        <w:rPr>
          <w:rFonts w:hint="eastAsia" w:ascii="仿宋_GB2312" w:hAnsi="仿宋_GB2312" w:eastAsia="仿宋_GB2312" w:cs="仿宋_GB2312"/>
          <w:sz w:val="32"/>
          <w:szCs w:val="32"/>
          <w:shd w:val="clear" w:fill="auto"/>
        </w:rPr>
        <w:t>因市场配额价格出现大幅上涨需释放价格平抑储备配额时，价格平抑储备配额原则上分三等份，在当年进行拍卖出售，竞拍底价设定为近</w:t>
      </w:r>
      <w:r>
        <w:rPr>
          <w:rFonts w:ascii="仿宋_GB2312" w:hAnsi="仿宋_GB2312" w:eastAsia="仿宋_GB2312" w:cs="仿宋_GB2312"/>
          <w:sz w:val="32"/>
          <w:szCs w:val="32"/>
          <w:shd w:val="clear" w:fill="auto"/>
        </w:rPr>
        <w:t>6个月配额均价；未成功出售的价格平抑储备配额，在每次竞价结束后转回至碳排放权注册登记系统中政府配额储备账户；</w:t>
      </w:r>
      <w:r>
        <w:rPr>
          <w:rFonts w:hint="eastAsia" w:ascii="仿宋_GB2312" w:hAnsi="仿宋_GB2312" w:eastAsia="仿宋_GB2312" w:cs="仿宋_GB2312"/>
          <w:sz w:val="32"/>
          <w:szCs w:val="32"/>
          <w:shd w:val="clear" w:fill="auto"/>
        </w:rPr>
        <w:t>拍卖</w:t>
      </w:r>
      <w:r>
        <w:rPr>
          <w:rFonts w:ascii="仿宋_GB2312" w:hAnsi="仿宋_GB2312" w:eastAsia="仿宋_GB2312" w:cs="仿宋_GB2312"/>
          <w:sz w:val="32"/>
          <w:szCs w:val="32"/>
          <w:shd w:val="clear" w:fill="auto"/>
        </w:rPr>
        <w:t>工作结束后，近两个月内不再因价格上涨释放价格平抑储备配额。</w:t>
      </w:r>
    </w:p>
    <w:p>
      <w:pPr>
        <w:spacing w:after="0" w:line="560" w:lineRule="exact"/>
        <w:ind w:firstLine="640" w:firstLineChars="200"/>
        <w:rPr>
          <w:rFonts w:ascii="仿宋_GB2312" w:hAnsi="仿宋_GB2312" w:eastAsia="仿宋_GB2312" w:cs="仿宋_GB2312"/>
          <w:sz w:val="32"/>
          <w:szCs w:val="32"/>
          <w:shd w:val="clear" w:fill="auto"/>
        </w:rPr>
      </w:pPr>
      <w:r>
        <w:rPr>
          <w:rFonts w:hint="eastAsia" w:ascii="仿宋_GB2312" w:hAnsi="仿宋_GB2312" w:eastAsia="仿宋_GB2312" w:cs="仿宋_GB2312"/>
          <w:sz w:val="32"/>
          <w:szCs w:val="32"/>
          <w:shd w:val="clear" w:fill="auto"/>
        </w:rPr>
        <w:t>因市场流动配额数量过低需释放价格平抑储备配额时，价格平抑储备配额原则上分三等份，在当年进行拍卖出售，竞拍底价设定为近</w:t>
      </w:r>
      <w:r>
        <w:rPr>
          <w:rFonts w:ascii="仿宋_GB2312" w:hAnsi="仿宋_GB2312" w:eastAsia="仿宋_GB2312" w:cs="仿宋_GB2312"/>
          <w:sz w:val="32"/>
          <w:szCs w:val="32"/>
          <w:shd w:val="clear" w:fill="auto"/>
        </w:rPr>
        <w:t>6个月配额均价；未成功出售的价格平抑储备配额，在每次竞价结束后回</w:t>
      </w:r>
      <w:r>
        <w:rPr>
          <w:rFonts w:hint="eastAsia" w:ascii="仿宋_GB2312" w:hAnsi="仿宋_GB2312" w:eastAsia="仿宋_GB2312" w:cs="仿宋_GB2312"/>
          <w:sz w:val="32"/>
          <w:szCs w:val="32"/>
          <w:shd w:val="clear" w:fill="auto"/>
        </w:rPr>
        <w:t>到</w:t>
      </w:r>
      <w:r>
        <w:rPr>
          <w:rFonts w:ascii="仿宋_GB2312" w:hAnsi="仿宋_GB2312" w:eastAsia="仿宋_GB2312" w:cs="仿宋_GB2312"/>
          <w:sz w:val="32"/>
          <w:szCs w:val="32"/>
          <w:shd w:val="clear" w:fill="auto"/>
        </w:rPr>
        <w:t>政府配额储备账户。</w:t>
      </w:r>
    </w:p>
    <w:p>
      <w:pPr>
        <w:rPr>
          <w:rFonts w:ascii="黑体" w:hAnsi="黑体" w:eastAsia="黑体" w:cs="黑体"/>
          <w:sz w:val="32"/>
          <w:szCs w:val="28"/>
          <w:shd w:val="clear" w:fill="auto"/>
        </w:rPr>
      </w:pPr>
      <w:r>
        <w:rPr>
          <w:rFonts w:hint="eastAsia" w:ascii="黑体" w:hAnsi="黑体" w:eastAsia="黑体" w:cs="黑体"/>
          <w:sz w:val="32"/>
          <w:szCs w:val="28"/>
          <w:shd w:val="clear" w:fill="auto"/>
        </w:rPr>
        <w:br w:type="page"/>
      </w:r>
    </w:p>
    <w:p>
      <w:pPr>
        <w:pStyle w:val="2"/>
        <w:spacing w:before="0" w:after="0" w:line="600" w:lineRule="exact"/>
        <w:rPr>
          <w:rFonts w:ascii="黑体" w:hAnsi="黑体" w:eastAsia="黑体" w:cs="黑体"/>
          <w:b w:val="0"/>
          <w:bCs w:val="0"/>
          <w:kern w:val="2"/>
          <w:sz w:val="32"/>
          <w:szCs w:val="28"/>
          <w:shd w:val="clear" w:fill="auto"/>
        </w:rPr>
      </w:pPr>
      <w:r>
        <w:rPr>
          <w:rFonts w:hint="eastAsia" w:ascii="黑体" w:hAnsi="黑体" w:eastAsia="黑体" w:cs="黑体"/>
          <w:b w:val="0"/>
          <w:bCs w:val="0"/>
          <w:kern w:val="2"/>
          <w:sz w:val="32"/>
          <w:szCs w:val="28"/>
          <w:shd w:val="clear" w:fill="auto"/>
        </w:rPr>
        <w:t>附件6</w:t>
      </w:r>
    </w:p>
    <w:p>
      <w:pPr>
        <w:rPr>
          <w:shd w:val="clear" w:fill="auto"/>
        </w:rPr>
      </w:pPr>
    </w:p>
    <w:p>
      <w:pPr>
        <w:pStyle w:val="2"/>
        <w:spacing w:before="0" w:after="0" w:line="560" w:lineRule="exact"/>
        <w:jc w:val="center"/>
        <w:rPr>
          <w:rFonts w:ascii="方正小标宋简体" w:hAnsi="方正小标宋简体" w:eastAsia="方正小标宋简体" w:cs="方正小标宋简体"/>
          <w:b w:val="0"/>
          <w:bCs w:val="0"/>
          <w:kern w:val="2"/>
          <w:shd w:val="clear" w:fill="auto"/>
        </w:rPr>
      </w:pPr>
      <w:r>
        <w:rPr>
          <w:rFonts w:hint="eastAsia" w:ascii="方正小标宋简体" w:hAnsi="方正小标宋简体" w:eastAsia="方正小标宋简体" w:cs="方正小标宋简体"/>
          <w:b w:val="0"/>
          <w:bCs w:val="0"/>
          <w:kern w:val="2"/>
          <w:shd w:val="clear" w:fill="auto"/>
        </w:rPr>
        <w:t>碳市场绿电碳排放核减方法</w:t>
      </w:r>
    </w:p>
    <w:p>
      <w:pPr>
        <w:jc w:val="center"/>
        <w:rPr>
          <w:rFonts w:ascii="方正小标宋简体" w:hAnsi="方正小标宋简体" w:eastAsia="方正小标宋简体" w:cs="方正小标宋简体"/>
          <w:b/>
          <w:bCs/>
          <w:sz w:val="32"/>
          <w:szCs w:val="32"/>
          <w:shd w:val="clear" w:fill="auto"/>
        </w:rPr>
      </w:pPr>
    </w:p>
    <w:p>
      <w:pPr>
        <w:spacing w:line="560" w:lineRule="exact"/>
        <w:ind w:firstLine="640" w:firstLineChars="200"/>
        <w:rPr>
          <w:rFonts w:ascii="黑体" w:hAnsi="黑体" w:eastAsia="黑体" w:cs="黑体"/>
          <w:kern w:val="0"/>
          <w:sz w:val="32"/>
          <w:szCs w:val="32"/>
          <w:shd w:val="clear" w:fill="auto"/>
        </w:rPr>
      </w:pPr>
      <w:bookmarkStart w:id="7" w:name="_Hlk167635674"/>
      <w:r>
        <w:rPr>
          <w:rFonts w:hint="eastAsia" w:ascii="黑体" w:hAnsi="黑体" w:eastAsia="黑体" w:cs="黑体"/>
          <w:kern w:val="0"/>
          <w:sz w:val="32"/>
          <w:szCs w:val="32"/>
          <w:shd w:val="clear" w:fill="auto"/>
        </w:rPr>
        <w:t>一、适用范围</w:t>
      </w:r>
    </w:p>
    <w:p>
      <w:pPr>
        <w:spacing w:line="560" w:lineRule="exact"/>
        <w:ind w:firstLine="640" w:firstLineChars="200"/>
        <w:rPr>
          <w:rFonts w:ascii="仿宋_GB2312" w:hAnsi="仿宋_GB2312" w:eastAsia="仿宋_GB2312" w:cs="仿宋_GB2312"/>
          <w:kern w:val="0"/>
          <w:sz w:val="32"/>
          <w:szCs w:val="32"/>
          <w:shd w:val="clear" w:fill="auto"/>
        </w:rPr>
      </w:pPr>
      <w:bookmarkStart w:id="8" w:name="_Hlk167635748"/>
      <w:r>
        <w:rPr>
          <w:rFonts w:ascii="仿宋_GB2312" w:hAnsi="仿宋_GB2312" w:eastAsia="仿宋_GB2312" w:cs="仿宋_GB2312"/>
          <w:kern w:val="0"/>
          <w:sz w:val="32"/>
          <w:szCs w:val="32"/>
          <w:shd w:val="clear" w:fill="auto"/>
        </w:rPr>
        <w:t>2024</w:t>
      </w:r>
      <w:r>
        <w:rPr>
          <w:rFonts w:hint="eastAsia" w:ascii="仿宋_GB2312" w:hAnsi="仿宋_GB2312" w:eastAsia="仿宋_GB2312" w:cs="仿宋_GB2312"/>
          <w:kern w:val="0"/>
          <w:sz w:val="32"/>
          <w:szCs w:val="32"/>
          <w:shd w:val="clear" w:fill="auto"/>
        </w:rPr>
        <w:t>年度配额短缺的重点排放单位可使用当</w:t>
      </w:r>
      <w:r>
        <w:rPr>
          <w:rFonts w:ascii="仿宋_GB2312" w:hAnsi="仿宋_GB2312" w:eastAsia="仿宋_GB2312" w:cs="仿宋_GB2312"/>
          <w:kern w:val="0"/>
          <w:sz w:val="32"/>
          <w:szCs w:val="32"/>
          <w:shd w:val="clear" w:fill="auto"/>
        </w:rPr>
        <w:t>年度</w:t>
      </w:r>
      <w:r>
        <w:rPr>
          <w:rFonts w:hint="eastAsia" w:ascii="仿宋_GB2312" w:hAnsi="仿宋_GB2312" w:eastAsia="仿宋_GB2312" w:cs="仿宋_GB2312"/>
          <w:kern w:val="0"/>
          <w:sz w:val="32"/>
          <w:szCs w:val="32"/>
          <w:shd w:val="clear" w:fill="auto"/>
        </w:rPr>
        <w:t>内</w:t>
      </w:r>
      <w:r>
        <w:rPr>
          <w:rFonts w:ascii="仿宋_GB2312" w:hAnsi="仿宋_GB2312" w:eastAsia="仿宋_GB2312" w:cs="仿宋_GB2312"/>
          <w:kern w:val="0"/>
          <w:sz w:val="32"/>
          <w:szCs w:val="32"/>
          <w:shd w:val="clear" w:fill="auto"/>
        </w:rPr>
        <w:t>通过市场化手段购买</w:t>
      </w:r>
      <w:r>
        <w:rPr>
          <w:rFonts w:hint="eastAsia" w:ascii="仿宋_GB2312" w:hAnsi="仿宋_GB2312" w:eastAsia="仿宋_GB2312" w:cs="仿宋_GB2312"/>
          <w:kern w:val="0"/>
          <w:sz w:val="32"/>
          <w:szCs w:val="32"/>
          <w:shd w:val="clear" w:fill="auto"/>
        </w:rPr>
        <w:t>消费</w:t>
      </w:r>
      <w:r>
        <w:rPr>
          <w:rFonts w:ascii="仿宋_GB2312" w:hAnsi="仿宋_GB2312" w:eastAsia="仿宋_GB2312" w:cs="仿宋_GB2312"/>
          <w:kern w:val="0"/>
          <w:sz w:val="32"/>
          <w:szCs w:val="32"/>
          <w:shd w:val="clear" w:fill="auto"/>
        </w:rPr>
        <w:t>的绿电核减其超额碳排放量</w:t>
      </w:r>
      <w:bookmarkEnd w:id="8"/>
      <w:r>
        <w:rPr>
          <w:rFonts w:ascii="仿宋_GB2312" w:hAnsi="仿宋_GB2312" w:eastAsia="仿宋_GB2312" w:cs="仿宋_GB2312"/>
          <w:kern w:val="0"/>
          <w:sz w:val="32"/>
          <w:szCs w:val="32"/>
          <w:shd w:val="clear" w:fill="auto"/>
        </w:rPr>
        <w:t>。</w:t>
      </w:r>
    </w:p>
    <w:p>
      <w:pPr>
        <w:spacing w:line="560" w:lineRule="exact"/>
        <w:ind w:firstLine="640" w:firstLineChars="200"/>
        <w:rPr>
          <w:rFonts w:ascii="黑体" w:hAnsi="黑体" w:eastAsia="黑体" w:cs="黑体"/>
          <w:kern w:val="0"/>
          <w:sz w:val="32"/>
          <w:szCs w:val="32"/>
          <w:shd w:val="clear" w:fill="auto"/>
        </w:rPr>
      </w:pPr>
      <w:r>
        <w:rPr>
          <w:rFonts w:hint="eastAsia" w:ascii="黑体" w:hAnsi="黑体" w:eastAsia="黑体" w:cs="黑体"/>
          <w:kern w:val="0"/>
          <w:sz w:val="32"/>
          <w:szCs w:val="32"/>
          <w:shd w:val="clear" w:fill="auto"/>
        </w:rPr>
        <w:t>二、核减方法</w:t>
      </w:r>
    </w:p>
    <w:p>
      <w:pPr>
        <w:autoSpaceDE w:val="0"/>
        <w:autoSpaceDN w:val="0"/>
        <w:adjustRightInd w:val="0"/>
        <w:spacing w:line="560" w:lineRule="exact"/>
        <w:ind w:firstLine="642" w:firstLineChars="200"/>
        <w:rPr>
          <w:rFonts w:ascii="仿宋_GB2312" w:hAnsi="仿宋_GB2312" w:eastAsia="仿宋_GB2312" w:cs="仿宋_GB2312"/>
          <w:b/>
          <w:bCs/>
          <w:kern w:val="0"/>
          <w:sz w:val="32"/>
          <w:szCs w:val="32"/>
          <w:shd w:val="clear" w:fill="auto"/>
        </w:rPr>
      </w:pPr>
      <w:r>
        <w:rPr>
          <w:rFonts w:hint="eastAsia" w:ascii="仿宋_GB2312" w:hAnsi="仿宋_GB2312" w:eastAsia="仿宋_GB2312" w:cs="仿宋_GB2312"/>
          <w:b/>
          <w:bCs/>
          <w:kern w:val="0"/>
          <w:sz w:val="32"/>
          <w:szCs w:val="32"/>
          <w:shd w:val="clear" w:fill="auto"/>
        </w:rPr>
        <w:t>重点排放单位</w:t>
      </w:r>
      <w:r>
        <w:rPr>
          <w:rFonts w:ascii="仿宋_GB2312" w:hAnsi="仿宋_GB2312" w:eastAsia="仿宋_GB2312" w:cs="仿宋_GB2312"/>
          <w:b/>
          <w:bCs/>
          <w:kern w:val="0"/>
          <w:sz w:val="32"/>
          <w:szCs w:val="32"/>
          <w:shd w:val="clear" w:fill="auto"/>
        </w:rPr>
        <w:t>2024</w:t>
      </w:r>
      <w:r>
        <w:rPr>
          <w:rFonts w:hint="eastAsia" w:ascii="仿宋_GB2312" w:hAnsi="仿宋_GB2312" w:eastAsia="仿宋_GB2312" w:cs="仿宋_GB2312"/>
          <w:b/>
          <w:bCs/>
          <w:kern w:val="0"/>
          <w:sz w:val="32"/>
          <w:szCs w:val="32"/>
          <w:shd w:val="clear" w:fill="auto"/>
        </w:rPr>
        <w:t>年度碳排放核减量</w:t>
      </w:r>
      <w:r>
        <w:rPr>
          <w:rFonts w:ascii="仿宋_GB2312" w:hAnsi="仿宋_GB2312" w:eastAsia="仿宋_GB2312" w:cs="仿宋_GB2312"/>
          <w:b/>
          <w:bCs/>
          <w:kern w:val="0"/>
          <w:sz w:val="32"/>
          <w:szCs w:val="32"/>
          <w:shd w:val="clear" w:fill="auto"/>
        </w:rPr>
        <w:t xml:space="preserve"> = Min（年度绿电购买消费量×年度绿电核减因子，年度配额短缺量）</w:t>
      </w:r>
    </w:p>
    <w:p>
      <w:pPr>
        <w:spacing w:line="560" w:lineRule="exact"/>
        <w:ind w:firstLine="640" w:firstLineChars="200"/>
        <w:rPr>
          <w:rFonts w:ascii="仿宋_GB2312" w:hAnsi="仿宋_GB2312" w:eastAsia="仿宋_GB2312" w:cs="仿宋_GB2312"/>
          <w:kern w:val="0"/>
          <w:sz w:val="32"/>
          <w:szCs w:val="32"/>
          <w:shd w:val="clear" w:fill="auto"/>
        </w:rPr>
      </w:pPr>
      <w:r>
        <w:rPr>
          <w:rFonts w:hint="eastAsia" w:ascii="仿宋_GB2312" w:hAnsi="仿宋_GB2312" w:eastAsia="仿宋_GB2312" w:cs="仿宋_GB2312"/>
          <w:kern w:val="0"/>
          <w:sz w:val="32"/>
          <w:szCs w:val="32"/>
          <w:shd w:val="clear" w:fill="auto"/>
        </w:rPr>
        <w:t>其中，</w:t>
      </w:r>
      <w:r>
        <w:rPr>
          <w:rFonts w:ascii="仿宋_GB2312" w:hAnsi="仿宋_GB2312" w:eastAsia="仿宋_GB2312" w:cs="仿宋_GB2312"/>
          <w:kern w:val="0"/>
          <w:sz w:val="32"/>
          <w:szCs w:val="32"/>
          <w:shd w:val="clear" w:fill="auto"/>
        </w:rPr>
        <w:t>2024年度</w:t>
      </w:r>
      <w:r>
        <w:rPr>
          <w:rFonts w:hint="eastAsia" w:ascii="仿宋_GB2312" w:hAnsi="仿宋_GB2312" w:eastAsia="仿宋_GB2312" w:cs="仿宋_GB2312"/>
          <w:kern w:val="0"/>
          <w:sz w:val="32"/>
          <w:szCs w:val="32"/>
          <w:shd w:val="clear" w:fill="auto"/>
        </w:rPr>
        <w:t>绿电碳排放核减因子取</w:t>
      </w:r>
      <w:r>
        <w:rPr>
          <w:rFonts w:ascii="仿宋_GB2312" w:hAnsi="仿宋_GB2312" w:eastAsia="仿宋_GB2312" w:cs="仿宋_GB2312"/>
          <w:kern w:val="0"/>
          <w:sz w:val="32"/>
          <w:szCs w:val="32"/>
          <w:shd w:val="clear" w:fill="auto"/>
        </w:rPr>
        <w:t>0.4326吨CO</w:t>
      </w:r>
      <w:r>
        <w:rPr>
          <w:rFonts w:ascii="仿宋_GB2312" w:hAnsi="仿宋_GB2312" w:eastAsia="仿宋_GB2312" w:cs="仿宋_GB2312"/>
          <w:kern w:val="0"/>
          <w:sz w:val="32"/>
          <w:szCs w:val="32"/>
          <w:shd w:val="clear" w:fill="auto"/>
          <w:vertAlign w:val="subscript"/>
        </w:rPr>
        <w:t>2</w:t>
      </w:r>
      <w:r>
        <w:rPr>
          <w:rFonts w:ascii="仿宋_GB2312" w:hAnsi="仿宋_GB2312" w:eastAsia="仿宋_GB2312" w:cs="仿宋_GB2312"/>
          <w:kern w:val="0"/>
          <w:sz w:val="32"/>
          <w:szCs w:val="32"/>
          <w:shd w:val="clear" w:fill="auto"/>
        </w:rPr>
        <w:t>/MWh</w:t>
      </w:r>
      <w:r>
        <w:rPr>
          <w:rFonts w:hint="eastAsia" w:ascii="仿宋_GB2312" w:hAnsi="仿宋_GB2312" w:eastAsia="仿宋_GB2312" w:cs="仿宋_GB2312"/>
          <w:kern w:val="0"/>
          <w:sz w:val="32"/>
          <w:szCs w:val="32"/>
          <w:shd w:val="clear" w:fill="auto"/>
        </w:rPr>
        <w:t>，来源于《生态环境部</w:t>
      </w:r>
      <w:r>
        <w:rPr>
          <w:rFonts w:hint="eastAsia" w:ascii="仿宋_GB2312" w:hAnsi="仿宋_GB2312" w:eastAsia="仿宋_GB2312" w:cs="仿宋_GB2312"/>
          <w:kern w:val="0"/>
          <w:sz w:val="32"/>
          <w:szCs w:val="32"/>
          <w:shd w:val="clear" w:fill="auto"/>
          <w:lang w:val="en-US" w:eastAsia="zh-CN"/>
        </w:rPr>
        <w:t xml:space="preserve"> </w:t>
      </w:r>
      <w:r>
        <w:rPr>
          <w:rFonts w:hint="eastAsia" w:ascii="仿宋_GB2312" w:hAnsi="仿宋_GB2312" w:eastAsia="仿宋_GB2312" w:cs="仿宋_GB2312"/>
          <w:kern w:val="0"/>
          <w:sz w:val="32"/>
          <w:szCs w:val="32"/>
          <w:shd w:val="clear" w:fill="auto"/>
        </w:rPr>
        <w:t>国家统计局关于发布</w:t>
      </w:r>
      <w:r>
        <w:rPr>
          <w:rFonts w:ascii="仿宋_GB2312" w:hAnsi="仿宋_GB2312" w:eastAsia="仿宋_GB2312" w:cs="仿宋_GB2312"/>
          <w:kern w:val="0"/>
          <w:sz w:val="32"/>
          <w:szCs w:val="32"/>
          <w:shd w:val="clear" w:fill="auto"/>
        </w:rPr>
        <w:t>2021年电力二氧化碳排放因子的公告</w:t>
      </w:r>
      <w:r>
        <w:rPr>
          <w:rFonts w:hint="eastAsia" w:ascii="仿宋_GB2312" w:hAnsi="仿宋_GB2312" w:eastAsia="仿宋_GB2312" w:cs="仿宋_GB2312"/>
          <w:kern w:val="0"/>
          <w:sz w:val="32"/>
          <w:szCs w:val="32"/>
          <w:shd w:val="clear" w:fill="auto"/>
        </w:rPr>
        <w:t>》（2024年第12号）中“南方</w:t>
      </w:r>
      <w:r>
        <w:rPr>
          <w:rFonts w:ascii="仿宋_GB2312" w:hAnsi="仿宋_GB2312" w:eastAsia="仿宋_GB2312" w:cs="仿宋_GB2312"/>
          <w:kern w:val="0"/>
          <w:sz w:val="32"/>
          <w:szCs w:val="32"/>
          <w:shd w:val="clear" w:fill="auto"/>
        </w:rPr>
        <w:t>区域电力平均二氧化碳排放因子</w:t>
      </w:r>
      <w:r>
        <w:rPr>
          <w:rFonts w:hint="eastAsia" w:ascii="仿宋_GB2312" w:hAnsi="仿宋_GB2312" w:eastAsia="仿宋_GB2312" w:cs="仿宋_GB2312"/>
          <w:kern w:val="0"/>
          <w:sz w:val="32"/>
          <w:szCs w:val="32"/>
          <w:shd w:val="clear" w:fill="auto"/>
        </w:rPr>
        <w:t>”。</w:t>
      </w:r>
    </w:p>
    <w:bookmarkEnd w:id="7"/>
    <w:p>
      <w:pPr>
        <w:autoSpaceDE w:val="0"/>
        <w:autoSpaceDN w:val="0"/>
        <w:adjustRightInd w:val="0"/>
        <w:spacing w:line="600" w:lineRule="exact"/>
        <w:rPr>
          <w:rFonts w:ascii="仿宋_GB2312" w:hAnsi="仿宋_GB2312" w:eastAsia="仿宋_GB2312" w:cs="仿宋_GB2312"/>
          <w:kern w:val="0"/>
          <w:sz w:val="32"/>
          <w:szCs w:val="32"/>
          <w:shd w:val="clear" w:fill="auto"/>
        </w:rPr>
      </w:pPr>
    </w:p>
    <w:p>
      <w:pPr>
        <w:autoSpaceDE w:val="0"/>
        <w:autoSpaceDN w:val="0"/>
        <w:adjustRightInd w:val="0"/>
        <w:spacing w:after="0" w:line="520" w:lineRule="exact"/>
        <w:ind w:firstLine="640" w:firstLineChars="200"/>
        <w:rPr>
          <w:rFonts w:ascii="仿宋_GB2312" w:hAnsi="仿宋_GB2312" w:eastAsia="仿宋_GB2312" w:cs="仿宋_GB2312"/>
          <w:kern w:val="0"/>
          <w:sz w:val="32"/>
          <w:szCs w:val="32"/>
          <w:shd w:val="clear" w:fill="auto"/>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华文仿宋"/>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 w:name="等线 Light">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Light">
    <w:altName w:val="URW Book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5"/>
                    </w:pPr>
                    <w: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58BDE3"/>
    <w:multiLevelType w:val="singleLevel"/>
    <w:tmpl w:val="D058BDE3"/>
    <w:lvl w:ilvl="0" w:tentative="0">
      <w:start w:val="1"/>
      <w:numFmt w:val="decimal"/>
      <w:lvlText w:val="%1."/>
      <w:lvlJc w:val="left"/>
      <w:pPr>
        <w:tabs>
          <w:tab w:val="left" w:pos="312"/>
        </w:tabs>
      </w:pPr>
    </w:lvl>
  </w:abstractNum>
  <w:abstractNum w:abstractNumId="1">
    <w:nsid w:val="1C20CFC1"/>
    <w:multiLevelType w:val="singleLevel"/>
    <w:tmpl w:val="1C20CFC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1EF"/>
    <w:rsid w:val="00022F14"/>
    <w:rsid w:val="000351CB"/>
    <w:rsid w:val="00052445"/>
    <w:rsid w:val="00060B5F"/>
    <w:rsid w:val="000628B8"/>
    <w:rsid w:val="00086292"/>
    <w:rsid w:val="0009590D"/>
    <w:rsid w:val="000C3137"/>
    <w:rsid w:val="000E041C"/>
    <w:rsid w:val="000E0749"/>
    <w:rsid w:val="000E75C6"/>
    <w:rsid w:val="000F385D"/>
    <w:rsid w:val="001060B6"/>
    <w:rsid w:val="00117EC4"/>
    <w:rsid w:val="001212B7"/>
    <w:rsid w:val="00137150"/>
    <w:rsid w:val="001468D9"/>
    <w:rsid w:val="0016767C"/>
    <w:rsid w:val="001724C6"/>
    <w:rsid w:val="001A3575"/>
    <w:rsid w:val="0022324F"/>
    <w:rsid w:val="0023268E"/>
    <w:rsid w:val="00246CE0"/>
    <w:rsid w:val="00247162"/>
    <w:rsid w:val="00262567"/>
    <w:rsid w:val="00274880"/>
    <w:rsid w:val="002A0547"/>
    <w:rsid w:val="002E6B38"/>
    <w:rsid w:val="0031678A"/>
    <w:rsid w:val="00342F41"/>
    <w:rsid w:val="00350744"/>
    <w:rsid w:val="003529EA"/>
    <w:rsid w:val="00353AC9"/>
    <w:rsid w:val="00363C09"/>
    <w:rsid w:val="0036420E"/>
    <w:rsid w:val="003729EA"/>
    <w:rsid w:val="003810AB"/>
    <w:rsid w:val="00382A33"/>
    <w:rsid w:val="00394060"/>
    <w:rsid w:val="003A2213"/>
    <w:rsid w:val="003B25D9"/>
    <w:rsid w:val="003C3998"/>
    <w:rsid w:val="003C3DBA"/>
    <w:rsid w:val="003D7BA7"/>
    <w:rsid w:val="003E54F8"/>
    <w:rsid w:val="00403395"/>
    <w:rsid w:val="00426B86"/>
    <w:rsid w:val="00426ED9"/>
    <w:rsid w:val="00433BB0"/>
    <w:rsid w:val="0043668D"/>
    <w:rsid w:val="00451B8C"/>
    <w:rsid w:val="00461C11"/>
    <w:rsid w:val="0047150D"/>
    <w:rsid w:val="004738B5"/>
    <w:rsid w:val="004C1BC3"/>
    <w:rsid w:val="004D0821"/>
    <w:rsid w:val="004F0DFD"/>
    <w:rsid w:val="005076D3"/>
    <w:rsid w:val="00515F3C"/>
    <w:rsid w:val="0052446A"/>
    <w:rsid w:val="005549F9"/>
    <w:rsid w:val="00575790"/>
    <w:rsid w:val="0059759B"/>
    <w:rsid w:val="005B6644"/>
    <w:rsid w:val="005B6FE8"/>
    <w:rsid w:val="005C348C"/>
    <w:rsid w:val="005C4A43"/>
    <w:rsid w:val="005F257F"/>
    <w:rsid w:val="0061639E"/>
    <w:rsid w:val="00622BED"/>
    <w:rsid w:val="006240CA"/>
    <w:rsid w:val="00631F05"/>
    <w:rsid w:val="00663366"/>
    <w:rsid w:val="00685414"/>
    <w:rsid w:val="006B2BA0"/>
    <w:rsid w:val="006C1BC2"/>
    <w:rsid w:val="006E2A9F"/>
    <w:rsid w:val="00711AC6"/>
    <w:rsid w:val="00725AE2"/>
    <w:rsid w:val="00735E18"/>
    <w:rsid w:val="007432EB"/>
    <w:rsid w:val="00770816"/>
    <w:rsid w:val="007715D5"/>
    <w:rsid w:val="007D6589"/>
    <w:rsid w:val="007F0427"/>
    <w:rsid w:val="008158C4"/>
    <w:rsid w:val="00851468"/>
    <w:rsid w:val="0085784B"/>
    <w:rsid w:val="008A51EF"/>
    <w:rsid w:val="008F20FF"/>
    <w:rsid w:val="0090067E"/>
    <w:rsid w:val="00906A0A"/>
    <w:rsid w:val="0092092C"/>
    <w:rsid w:val="00932C87"/>
    <w:rsid w:val="00940417"/>
    <w:rsid w:val="00944A04"/>
    <w:rsid w:val="00976308"/>
    <w:rsid w:val="009869A2"/>
    <w:rsid w:val="00995238"/>
    <w:rsid w:val="009D110A"/>
    <w:rsid w:val="00A30525"/>
    <w:rsid w:val="00A34041"/>
    <w:rsid w:val="00A54EF0"/>
    <w:rsid w:val="00A87968"/>
    <w:rsid w:val="00A94623"/>
    <w:rsid w:val="00AB52BC"/>
    <w:rsid w:val="00AC3A34"/>
    <w:rsid w:val="00AE4D9E"/>
    <w:rsid w:val="00AE506C"/>
    <w:rsid w:val="00B71C57"/>
    <w:rsid w:val="00B76961"/>
    <w:rsid w:val="00B93329"/>
    <w:rsid w:val="00BB1DC7"/>
    <w:rsid w:val="00BC02C4"/>
    <w:rsid w:val="00BD576A"/>
    <w:rsid w:val="00C04ED6"/>
    <w:rsid w:val="00C07168"/>
    <w:rsid w:val="00C11AF2"/>
    <w:rsid w:val="00C355C4"/>
    <w:rsid w:val="00C5197F"/>
    <w:rsid w:val="00CB1982"/>
    <w:rsid w:val="00CB2E46"/>
    <w:rsid w:val="00CC77CB"/>
    <w:rsid w:val="00CE30DE"/>
    <w:rsid w:val="00D005FA"/>
    <w:rsid w:val="00D03949"/>
    <w:rsid w:val="00D125D6"/>
    <w:rsid w:val="00D45E7C"/>
    <w:rsid w:val="00D52145"/>
    <w:rsid w:val="00D6593F"/>
    <w:rsid w:val="00D865D6"/>
    <w:rsid w:val="00DA37D8"/>
    <w:rsid w:val="00DC0CCE"/>
    <w:rsid w:val="00DC15F6"/>
    <w:rsid w:val="00DC476E"/>
    <w:rsid w:val="00DD29F9"/>
    <w:rsid w:val="00E20C5F"/>
    <w:rsid w:val="00E27F12"/>
    <w:rsid w:val="00E32F84"/>
    <w:rsid w:val="00E4296A"/>
    <w:rsid w:val="00E516B0"/>
    <w:rsid w:val="00E802CA"/>
    <w:rsid w:val="00EA2144"/>
    <w:rsid w:val="00F0757B"/>
    <w:rsid w:val="00F41C77"/>
    <w:rsid w:val="00F83DF7"/>
    <w:rsid w:val="00F968C2"/>
    <w:rsid w:val="00FA2244"/>
    <w:rsid w:val="00FA2DC4"/>
    <w:rsid w:val="00FA566C"/>
    <w:rsid w:val="00FB6C99"/>
    <w:rsid w:val="00FC230E"/>
    <w:rsid w:val="00FC6C0A"/>
    <w:rsid w:val="00FD3AD6"/>
    <w:rsid w:val="00FF09C5"/>
    <w:rsid w:val="04254123"/>
    <w:rsid w:val="04351998"/>
    <w:rsid w:val="04405E89"/>
    <w:rsid w:val="053D094C"/>
    <w:rsid w:val="06CF4636"/>
    <w:rsid w:val="072126BE"/>
    <w:rsid w:val="082A7CD0"/>
    <w:rsid w:val="08991263"/>
    <w:rsid w:val="0BB224A8"/>
    <w:rsid w:val="0C441E0F"/>
    <w:rsid w:val="0CB2646E"/>
    <w:rsid w:val="0E1801A7"/>
    <w:rsid w:val="103021ED"/>
    <w:rsid w:val="10D83D5A"/>
    <w:rsid w:val="11354A3D"/>
    <w:rsid w:val="11FC4B10"/>
    <w:rsid w:val="12750F57"/>
    <w:rsid w:val="14216A14"/>
    <w:rsid w:val="145304E8"/>
    <w:rsid w:val="14C063B3"/>
    <w:rsid w:val="15A77ABE"/>
    <w:rsid w:val="15BE5B32"/>
    <w:rsid w:val="16AC0DFD"/>
    <w:rsid w:val="16C23AE4"/>
    <w:rsid w:val="17332B1E"/>
    <w:rsid w:val="17ED1036"/>
    <w:rsid w:val="18785442"/>
    <w:rsid w:val="193D41F8"/>
    <w:rsid w:val="196B31F5"/>
    <w:rsid w:val="1ABB4669"/>
    <w:rsid w:val="1B282E74"/>
    <w:rsid w:val="1BCD6428"/>
    <w:rsid w:val="1DE34B1D"/>
    <w:rsid w:val="1E314C15"/>
    <w:rsid w:val="1E4B5A0C"/>
    <w:rsid w:val="1F28772C"/>
    <w:rsid w:val="1F3FB099"/>
    <w:rsid w:val="1F9560A2"/>
    <w:rsid w:val="21736B39"/>
    <w:rsid w:val="21C76D7B"/>
    <w:rsid w:val="227E3026"/>
    <w:rsid w:val="236F5E31"/>
    <w:rsid w:val="244A2215"/>
    <w:rsid w:val="24C763BB"/>
    <w:rsid w:val="264136D1"/>
    <w:rsid w:val="26B56FF0"/>
    <w:rsid w:val="26B75BDF"/>
    <w:rsid w:val="26B944E6"/>
    <w:rsid w:val="26ED37EA"/>
    <w:rsid w:val="2748073A"/>
    <w:rsid w:val="27513007"/>
    <w:rsid w:val="280A75AC"/>
    <w:rsid w:val="286F1B1D"/>
    <w:rsid w:val="28967719"/>
    <w:rsid w:val="2900312B"/>
    <w:rsid w:val="29523011"/>
    <w:rsid w:val="2A3061F1"/>
    <w:rsid w:val="2A574ECC"/>
    <w:rsid w:val="2AF66B88"/>
    <w:rsid w:val="2BD43FF7"/>
    <w:rsid w:val="2BDD7CB9"/>
    <w:rsid w:val="2C015D71"/>
    <w:rsid w:val="2C5C51D5"/>
    <w:rsid w:val="2C9C7A00"/>
    <w:rsid w:val="2CC31CAE"/>
    <w:rsid w:val="2F6872DC"/>
    <w:rsid w:val="2F8147DC"/>
    <w:rsid w:val="307C5D88"/>
    <w:rsid w:val="31801FC4"/>
    <w:rsid w:val="3187194F"/>
    <w:rsid w:val="31BD1E29"/>
    <w:rsid w:val="31DC1E18"/>
    <w:rsid w:val="320E2746"/>
    <w:rsid w:val="33701577"/>
    <w:rsid w:val="33B305E2"/>
    <w:rsid w:val="34697030"/>
    <w:rsid w:val="34D23635"/>
    <w:rsid w:val="351B5E72"/>
    <w:rsid w:val="354211D3"/>
    <w:rsid w:val="354A16A4"/>
    <w:rsid w:val="35642BA4"/>
    <w:rsid w:val="35723966"/>
    <w:rsid w:val="363D3B74"/>
    <w:rsid w:val="3656156E"/>
    <w:rsid w:val="367475D7"/>
    <w:rsid w:val="38A96204"/>
    <w:rsid w:val="390B4F8E"/>
    <w:rsid w:val="3A0045B7"/>
    <w:rsid w:val="3A2602C1"/>
    <w:rsid w:val="3A551A03"/>
    <w:rsid w:val="3AED3D86"/>
    <w:rsid w:val="3B16518A"/>
    <w:rsid w:val="3C6A592B"/>
    <w:rsid w:val="3C933ED1"/>
    <w:rsid w:val="3C9B3C3D"/>
    <w:rsid w:val="3CAD28E4"/>
    <w:rsid w:val="3CE614C5"/>
    <w:rsid w:val="3DAE273F"/>
    <w:rsid w:val="3E514ADF"/>
    <w:rsid w:val="3E9207B3"/>
    <w:rsid w:val="3F012924"/>
    <w:rsid w:val="3FD7F644"/>
    <w:rsid w:val="413F3EEB"/>
    <w:rsid w:val="42602A72"/>
    <w:rsid w:val="42934817"/>
    <w:rsid w:val="42945BE8"/>
    <w:rsid w:val="43064505"/>
    <w:rsid w:val="436E4024"/>
    <w:rsid w:val="438F5995"/>
    <w:rsid w:val="43B9787D"/>
    <w:rsid w:val="443E183E"/>
    <w:rsid w:val="444A53AA"/>
    <w:rsid w:val="44547172"/>
    <w:rsid w:val="44D01572"/>
    <w:rsid w:val="44DB7445"/>
    <w:rsid w:val="460F312B"/>
    <w:rsid w:val="46302DC8"/>
    <w:rsid w:val="46C30698"/>
    <w:rsid w:val="48DE1B76"/>
    <w:rsid w:val="4A075AD4"/>
    <w:rsid w:val="4A0C4C3E"/>
    <w:rsid w:val="4A4948CE"/>
    <w:rsid w:val="4A6C06F2"/>
    <w:rsid w:val="4A8F075E"/>
    <w:rsid w:val="4B6607C1"/>
    <w:rsid w:val="4D55429F"/>
    <w:rsid w:val="4D5A40F4"/>
    <w:rsid w:val="4E041E1A"/>
    <w:rsid w:val="4E2A6D4B"/>
    <w:rsid w:val="4E5A5C28"/>
    <w:rsid w:val="4E672092"/>
    <w:rsid w:val="518A32C1"/>
    <w:rsid w:val="51A02B7A"/>
    <w:rsid w:val="51C15A28"/>
    <w:rsid w:val="52135D5E"/>
    <w:rsid w:val="525F6430"/>
    <w:rsid w:val="53A90A2F"/>
    <w:rsid w:val="544561F4"/>
    <w:rsid w:val="54CA11C5"/>
    <w:rsid w:val="552C5B59"/>
    <w:rsid w:val="567B5598"/>
    <w:rsid w:val="56FD1B88"/>
    <w:rsid w:val="57F347D8"/>
    <w:rsid w:val="590B7824"/>
    <w:rsid w:val="59123351"/>
    <w:rsid w:val="597DCB05"/>
    <w:rsid w:val="59AF2530"/>
    <w:rsid w:val="5BFA4673"/>
    <w:rsid w:val="5C321615"/>
    <w:rsid w:val="5D1560C5"/>
    <w:rsid w:val="5DFD2ABD"/>
    <w:rsid w:val="5E1C5910"/>
    <w:rsid w:val="5EF665DA"/>
    <w:rsid w:val="5F7062A4"/>
    <w:rsid w:val="5F9A09F1"/>
    <w:rsid w:val="601630E6"/>
    <w:rsid w:val="60454032"/>
    <w:rsid w:val="618A3E10"/>
    <w:rsid w:val="63AD4F94"/>
    <w:rsid w:val="64004658"/>
    <w:rsid w:val="64076927"/>
    <w:rsid w:val="641414C0"/>
    <w:rsid w:val="647B1709"/>
    <w:rsid w:val="680C6B42"/>
    <w:rsid w:val="68421240"/>
    <w:rsid w:val="686947A3"/>
    <w:rsid w:val="69A43452"/>
    <w:rsid w:val="69FB203C"/>
    <w:rsid w:val="6A3E256C"/>
    <w:rsid w:val="6A8755F2"/>
    <w:rsid w:val="6B1A3036"/>
    <w:rsid w:val="6B9F9106"/>
    <w:rsid w:val="6BBA6851"/>
    <w:rsid w:val="6D116900"/>
    <w:rsid w:val="6DDE2DED"/>
    <w:rsid w:val="6E276B1D"/>
    <w:rsid w:val="6E9F3DCD"/>
    <w:rsid w:val="6EB476DF"/>
    <w:rsid w:val="6F354908"/>
    <w:rsid w:val="6FAF4DCA"/>
    <w:rsid w:val="704E01F9"/>
    <w:rsid w:val="710B57E7"/>
    <w:rsid w:val="711E5B18"/>
    <w:rsid w:val="715F7030"/>
    <w:rsid w:val="71674422"/>
    <w:rsid w:val="7180416F"/>
    <w:rsid w:val="727FF384"/>
    <w:rsid w:val="73374499"/>
    <w:rsid w:val="7498686D"/>
    <w:rsid w:val="74BF2D99"/>
    <w:rsid w:val="75331653"/>
    <w:rsid w:val="76881E5B"/>
    <w:rsid w:val="76E81840"/>
    <w:rsid w:val="772E035C"/>
    <w:rsid w:val="773E3001"/>
    <w:rsid w:val="77E86AC9"/>
    <w:rsid w:val="79C17C48"/>
    <w:rsid w:val="7A504183"/>
    <w:rsid w:val="7ACE7785"/>
    <w:rsid w:val="7AE76131"/>
    <w:rsid w:val="7CFFDED2"/>
    <w:rsid w:val="7E8F4893"/>
    <w:rsid w:val="7EB56B47"/>
    <w:rsid w:val="7F1B7D95"/>
    <w:rsid w:val="7F707841"/>
    <w:rsid w:val="9FFE1460"/>
    <w:rsid w:val="A1FDB787"/>
    <w:rsid w:val="ADF1331F"/>
    <w:rsid w:val="B53A0DB2"/>
    <w:rsid w:val="DFF6D057"/>
    <w:rsid w:val="EBEB7949"/>
    <w:rsid w:val="FEFF3EC3"/>
    <w:rsid w:val="FFFAD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6" w:lineRule="auto"/>
      <w:outlineLvl w:val="0"/>
    </w:pPr>
    <w:rPr>
      <w:rFonts w:eastAsia="宋体"/>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5"/>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标题 1 字符"/>
    <w:basedOn w:val="9"/>
    <w:link w:val="2"/>
    <w:qFormat/>
    <w:uiPriority w:val="9"/>
    <w:rPr>
      <w:rFonts w:eastAsia="宋体"/>
      <w:b/>
      <w:bCs/>
      <w:kern w:val="44"/>
      <w:sz w:val="44"/>
      <w:szCs w:val="44"/>
    </w:rPr>
  </w:style>
  <w:style w:type="paragraph" w:customStyle="1" w:styleId="13">
    <w:name w:val="列出段落1"/>
    <w:basedOn w:val="1"/>
    <w:qFormat/>
    <w:uiPriority w:val="0"/>
    <w:pPr>
      <w:ind w:firstLine="420" w:firstLineChars="200"/>
    </w:pPr>
    <w:rPr>
      <w:rFonts w:ascii="Calibri" w:hAnsi="Calibri" w:eastAsia="宋体" w:cs="Calibri"/>
      <w:sz w:val="32"/>
      <w:szCs w:val="21"/>
    </w:rPr>
  </w:style>
  <w:style w:type="character" w:customStyle="1" w:styleId="14">
    <w:name w:val="标题 2 字符"/>
    <w:basedOn w:val="9"/>
    <w:link w:val="3"/>
    <w:qFormat/>
    <w:uiPriority w:val="9"/>
    <w:rPr>
      <w:rFonts w:asciiTheme="majorHAnsi" w:hAnsiTheme="majorHAnsi" w:eastAsiaTheme="majorEastAsia" w:cstheme="majorBidi"/>
      <w:b/>
      <w:bCs/>
      <w:sz w:val="32"/>
      <w:szCs w:val="32"/>
    </w:rPr>
  </w:style>
  <w:style w:type="character" w:customStyle="1" w:styleId="15">
    <w:name w:val="标题 3 字符"/>
    <w:basedOn w:val="9"/>
    <w:link w:val="4"/>
    <w:qFormat/>
    <w:uiPriority w:val="9"/>
    <w:rPr>
      <w:b/>
      <w:bCs/>
      <w:sz w:val="32"/>
      <w:szCs w:val="32"/>
    </w:rPr>
  </w:style>
  <w:style w:type="paragraph" w:customStyle="1" w:styleId="16">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7">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1021</Words>
  <Characters>5823</Characters>
  <Lines>48</Lines>
  <Paragraphs>13</Paragraphs>
  <TotalTime>19</TotalTime>
  <ScaleCrop>false</ScaleCrop>
  <LinksUpToDate>false</LinksUpToDate>
  <CharactersWithSpaces>6831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2024-01-06T01:44:00Z</dcterms:created>
  <dc:creator>Jiang Jingjing</dc:creator>
  <cp:lastModifiedBy>zhangyiwei</cp:lastModifiedBy>
  <cp:lastPrinted>2024-05-29T01:14:00Z</cp:lastPrinted>
  <dcterms:modified xsi:type="dcterms:W3CDTF">2024-08-07T19:07:03Z</dcterms:modified>
  <cp:revision>343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69DBD9A9FB5B41E8AD382D5673CE2EA3</vt:lpwstr>
  </property>
  <property fmtid="{D5CDD505-2E9C-101B-9397-08002B2CF9AE}" pid="4" name="FormattingId">
    <vt:lpwstr>8dea525784474e61b7fc91074273be4c</vt:lpwstr>
  </property>
</Properties>
</file>