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43A9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DDC673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8B170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149</w:t>
      </w:r>
      <w:r>
        <w:rPr>
          <w:rFonts w:hint="eastAsia" w:ascii="仿宋_GB2312" w:hAnsi="仿宋_GB2312" w:eastAsia="仿宋_GB2312" w:cs="仿宋_GB2312"/>
          <w:kern w:val="0"/>
          <w:sz w:val="28"/>
          <w:szCs w:val="28"/>
          <w:highlight w:val="none"/>
        </w:rPr>
        <w:t>号</w:t>
      </w:r>
    </w:p>
    <w:p w14:paraId="6BAFDFA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F84CC5A">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当事人基本情况：</w:t>
      </w:r>
    </w:p>
    <w:p w14:paraId="021E8767">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个体工商户字号名称：</w:t>
      </w:r>
      <w:r>
        <w:rPr>
          <w:rFonts w:hint="eastAsia" w:ascii="仿宋_GB2312" w:hAnsi="宋体" w:eastAsia="仿宋_GB2312" w:cs="宋体"/>
          <w:color w:val="auto"/>
          <w:kern w:val="0"/>
          <w:sz w:val="32"/>
          <w:szCs w:val="32"/>
          <w:highlight w:val="none"/>
          <w:u w:val="none"/>
          <w:lang w:val="en-US" w:eastAsia="zh-CN"/>
        </w:rPr>
        <w:t>***</w:t>
      </w:r>
    </w:p>
    <w:p w14:paraId="045C56EE">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统一社会信用代码：</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0AB75181">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经营者姓名：</w:t>
      </w:r>
      <w:r>
        <w:rPr>
          <w:rFonts w:hint="eastAsia" w:ascii="仿宋_GB2312" w:hAnsi="宋体" w:eastAsia="仿宋_GB2312" w:cs="宋体"/>
          <w:color w:val="auto"/>
          <w:kern w:val="0"/>
          <w:sz w:val="32"/>
          <w:szCs w:val="32"/>
          <w:highlight w:val="none"/>
          <w:u w:val="none"/>
          <w:lang w:val="en-US" w:eastAsia="zh-CN"/>
        </w:rPr>
        <w:t xml:space="preserve">*** </w:t>
      </w:r>
      <w:r>
        <w:rPr>
          <w:rFonts w:hint="eastAsia" w:ascii="仿宋_GB2312" w:hAnsi="宋体" w:eastAsia="仿宋_GB2312" w:cs="宋体"/>
          <w:color w:val="auto"/>
          <w:kern w:val="0"/>
          <w:sz w:val="32"/>
          <w:szCs w:val="32"/>
          <w:highlight w:val="none"/>
          <w:u w:val="none"/>
        </w:rPr>
        <w:t>（公民身份号码</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59BC879E">
      <w:pPr>
        <w:keepNext w:val="0"/>
        <w:keepLines w:val="0"/>
        <w:pageBreakBefore w:val="0"/>
        <w:kinsoku/>
        <w:wordWrap/>
        <w:overflowPunct/>
        <w:topLinePunct w:val="0"/>
        <w:autoSpaceDE w:val="0"/>
        <w:autoSpaceDN w:val="0"/>
        <w:bidi w:val="0"/>
        <w:adjustRightInd w:val="0"/>
        <w:snapToGrid w:val="0"/>
        <w:spacing w:line="360" w:lineRule="exact"/>
        <w:jc w:val="left"/>
        <w:textAlignment w:val="auto"/>
        <w:rPr>
          <w:rFonts w:hint="eastAsia" w:ascii="仿宋_GB2312" w:hAnsi="宋体" w:eastAsia="仿宋_GB2312" w:cs="宋体"/>
          <w:color w:val="auto"/>
          <w:kern w:val="0"/>
          <w:sz w:val="32"/>
          <w:szCs w:val="32"/>
          <w:highlight w:val="none"/>
          <w:u w:val="none"/>
        </w:rPr>
      </w:pPr>
      <w:r>
        <w:rPr>
          <w:rFonts w:hint="eastAsia" w:ascii="仿宋_GB2312" w:hAnsi="宋体" w:eastAsia="仿宋_GB2312" w:cs="宋体"/>
          <w:color w:val="auto"/>
          <w:kern w:val="0"/>
          <w:sz w:val="32"/>
          <w:szCs w:val="32"/>
          <w:highlight w:val="none"/>
          <w:u w:val="none"/>
        </w:rPr>
        <w:t>经营者住址：</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宋体" w:eastAsia="仿宋_GB2312" w:cs="宋体"/>
          <w:color w:val="auto"/>
          <w:kern w:val="0"/>
          <w:sz w:val="32"/>
          <w:szCs w:val="32"/>
          <w:highlight w:val="none"/>
          <w:u w:val="none"/>
        </w:rPr>
        <w:t xml:space="preserve">                               </w:t>
      </w:r>
    </w:p>
    <w:p w14:paraId="5E2D94C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宋体" w:eastAsia="仿宋_GB2312" w:cs="宋体"/>
          <w:color w:val="auto"/>
          <w:kern w:val="0"/>
          <w:sz w:val="32"/>
          <w:szCs w:val="32"/>
          <w:highlight w:val="none"/>
          <w:u w:val="none"/>
        </w:rPr>
        <w:t>经营场所：</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E97D38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2024年6月18日17时32分，我局执法人员对你单位位于</w:t>
      </w:r>
      <w:r>
        <w:rPr>
          <w:rFonts w:hint="eastAsia" w:ascii="仿宋_GB2312" w:hAnsi="宋体" w:eastAsia="仿宋_GB2312" w:cs="宋体"/>
          <w:color w:val="auto"/>
          <w:kern w:val="0"/>
          <w:sz w:val="32"/>
          <w:szCs w:val="32"/>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的经营场所进行执法检查。现场检查发现，你单位有营业执照，经营面积约250平方米，厨房设置有两个炒锅，主要从事炒菜等有油</w:t>
      </w:r>
      <w:bookmarkStart w:id="0" w:name="_GoBack"/>
      <w:bookmarkEnd w:id="0"/>
      <w:r>
        <w:rPr>
          <w:rFonts w:hint="eastAsia" w:ascii="仿宋_GB2312" w:hAnsi="仿宋_GB2312" w:eastAsia="仿宋_GB2312" w:cs="仿宋_GB2312"/>
          <w:kern w:val="0"/>
          <w:sz w:val="28"/>
          <w:szCs w:val="28"/>
          <w:highlight w:val="none"/>
          <w:u w:val="none"/>
        </w:rPr>
        <w:t>烟产生的餐饮服务项目。现场检查过程中你单位正常经营，正在进行有油烟产生的餐饮服务项目，已安装并开启油烟净化设备，经营期间产生的油烟通过自建管道引至厨房后面低空排放。现场检查发现，你单位经营现址所在建筑物属于商住综合楼，一层、二层、三层为商铺，四层及以上为居民住宅，你单位经营现址楼宇未配套专用烟道。</w:t>
      </w:r>
    </w:p>
    <w:p w14:paraId="41F1ED3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你单位存在在未配套设立专用烟道的商住综合楼内新建产生油烟、异味、废气的餐饮服务项目的环境违法行为。                                                        </w:t>
      </w:r>
    </w:p>
    <w:p w14:paraId="55B4385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37A64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1、2024年6月18日、2024年7月29日我局执法人员制作的现场检查（勘察）笔录证明我局执法人员的执法检查、调查情况 ；</w:t>
      </w:r>
    </w:p>
    <w:p w14:paraId="1C22E1B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2、2024年6月18日、2024年7月29日我局执法人员制作的现场照片（视频），证明你单位正在经营有油烟产生的餐饮服务项目，你单位经营场所位于所在建筑物一层，你单位经营场所所在建筑物未配套专用烟道；</w:t>
      </w:r>
    </w:p>
    <w:p w14:paraId="546949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3、2024年6月18日我局执法人员调取的营业执照复印件、身份证复印件，证明你单位的主体适格；</w:t>
      </w:r>
    </w:p>
    <w:p w14:paraId="064E0D6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4、2024年5月24日我局执法人员收到的</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不动产登记信息查询汇总表，证明你单位经营现址所在建筑物属于商住综合楼，一层、二层、三层为商铺，四层及以上为居民住宅；</w:t>
      </w:r>
    </w:p>
    <w:p w14:paraId="0930DDEE">
      <w:pPr>
        <w:keepNext w:val="0"/>
        <w:keepLines w:val="0"/>
        <w:pageBreakBefore w:val="0"/>
        <w:widowControl/>
        <w:numPr>
          <w:ilvl w:val="0"/>
          <w:numId w:val="1"/>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执法人员执法证复印件2份，证明执法人员身份合法。</w:t>
      </w:r>
    </w:p>
    <w:p w14:paraId="621D5C83">
      <w:pPr>
        <w:keepNext w:val="0"/>
        <w:keepLines w:val="0"/>
        <w:pageBreakBefore w:val="0"/>
        <w:widowControl/>
        <w:numPr>
          <w:ilvl w:val="0"/>
          <w:numId w:val="0"/>
        </w:numPr>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6、见证人工作证复印件，证明见证人身份。</w:t>
      </w:r>
    </w:p>
    <w:p w14:paraId="4BFCB8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你单位上述行为违反了《中华人民共和国大气污染防治法》第八十一条第二款的规定。</w:t>
      </w:r>
    </w:p>
    <w:p w14:paraId="56E461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八条第二款的规定，现责令你单位限期三十天内通过加装专用烟道调整经营项目、终止经营产生油烟、异味、废气的餐饮服务项目、搬迁至可设立的经营场所等方式改正在未配套设立专用烟道的商住综合楼内新建产生油烟、异味、废气的餐饮服务项目的环境违法行为。</w:t>
      </w:r>
    </w:p>
    <w:p w14:paraId="669CFD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126350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45B928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CEF620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8F3ABEB">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8C0F341">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DBCDB5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3C172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E131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90B728">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AD0F9"/>
    <w:multiLevelType w:val="singleLevel"/>
    <w:tmpl w:val="B11AD0F9"/>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885692"/>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222C27"/>
    <w:rsid w:val="365E12C9"/>
    <w:rsid w:val="385576E2"/>
    <w:rsid w:val="3A1D4415"/>
    <w:rsid w:val="3B9D352A"/>
    <w:rsid w:val="3BC96712"/>
    <w:rsid w:val="3DEE6810"/>
    <w:rsid w:val="3E6E5583"/>
    <w:rsid w:val="4059760C"/>
    <w:rsid w:val="411F5222"/>
    <w:rsid w:val="424B5BCE"/>
    <w:rsid w:val="425076BD"/>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1250</Words>
  <Characters>1320</Characters>
  <Lines>0</Lines>
  <Paragraphs>0</Paragraphs>
  <TotalTime>0</TotalTime>
  <ScaleCrop>false</ScaleCrop>
  <LinksUpToDate>false</LinksUpToDate>
  <CharactersWithSpaces>1609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2024-08-07T07:17:05Z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