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widowControl w:val="0"/>
        <w:kinsoku/>
        <w:overflowPunct/>
        <w:topLinePunct w:val="0"/>
        <w:bidi w:val="0"/>
        <w:snapToGrid/>
        <w:spacing w:line="240" w:lineRule="atLeast"/>
        <w:jc w:val="center"/>
        <w:textAlignment w:val="auto"/>
        <w:outlineLvl w:val="9"/>
        <w:rPr>
          <w:rFonts w:hint="eastAsia" w:ascii="方正小标宋简体" w:hAnsi="方正小标宋简体" w:eastAsia="方正小标宋简体" w:cs="方正小标宋简体"/>
          <w:b w:val="0"/>
          <w:bCs w:val="0"/>
          <w:kern w:val="36"/>
          <w:sz w:val="44"/>
          <w:szCs w:val="44"/>
          <w:highlight w:val="none"/>
        </w:rPr>
      </w:pPr>
      <w:r>
        <w:rPr>
          <w:rFonts w:hint="eastAsia" w:ascii="方正小标宋简体" w:hAnsi="方正小标宋简体" w:eastAsia="方正小标宋简体" w:cs="方正小标宋简体"/>
          <w:b w:val="0"/>
          <w:bCs w:val="0"/>
          <w:color w:val="000000"/>
          <w:kern w:val="36"/>
          <w:sz w:val="44"/>
          <w:szCs w:val="44"/>
          <w:highlight w:val="none"/>
        </w:rPr>
        <w:t>深圳市生态环境局南山管理局</w:t>
      </w:r>
    </w:p>
    <w:p w14:paraId="2F71530D">
      <w:pPr>
        <w:keepNext w:val="0"/>
        <w:keepLines w:val="0"/>
        <w:pageBreakBefore w:val="0"/>
        <w:widowControl w:val="0"/>
        <w:kinsoku/>
        <w:overflowPunct/>
        <w:topLinePunct w:val="0"/>
        <w:autoSpaceDE w:val="0"/>
        <w:autoSpaceDN w:val="0"/>
        <w:bidi w:val="0"/>
        <w:adjustRightInd w:val="0"/>
        <w:snapToGrid/>
        <w:spacing w:line="240" w:lineRule="atLeast"/>
        <w:jc w:val="center"/>
        <w:textAlignment w:val="auto"/>
        <w:outlineLvl w:val="9"/>
        <w:rPr>
          <w:rFonts w:hint="eastAsia" w:ascii="方正小标宋简体" w:hAnsi="方正小标宋简体" w:eastAsia="方正小标宋简体" w:cs="方正小标宋简体"/>
          <w:b w:val="0"/>
          <w:bCs w:val="0"/>
          <w:color w:val="000000"/>
          <w:kern w:val="36"/>
          <w:sz w:val="44"/>
          <w:szCs w:val="44"/>
          <w:highlight w:val="none"/>
        </w:rPr>
      </w:pPr>
      <w:r>
        <w:rPr>
          <w:rFonts w:hint="eastAsia" w:ascii="方正小标宋简体" w:hAnsi="方正小标宋简体" w:eastAsia="方正小标宋简体" w:cs="方正小标宋简体"/>
          <w:b w:val="0"/>
          <w:bCs w:val="0"/>
          <w:color w:val="000000"/>
          <w:kern w:val="36"/>
          <w:sz w:val="44"/>
          <w:szCs w:val="44"/>
          <w:highlight w:val="none"/>
        </w:rPr>
        <w:t>责令改正违法行为决定书</w:t>
      </w:r>
    </w:p>
    <w:p w14:paraId="35B5FFCC">
      <w:pPr>
        <w:keepNext w:val="0"/>
        <w:keepLines w:val="0"/>
        <w:pageBreakBefore w:val="0"/>
        <w:widowControl w:val="0"/>
        <w:kinsoku/>
        <w:overflowPunct/>
        <w:topLinePunct w:val="0"/>
        <w:autoSpaceDE w:val="0"/>
        <w:autoSpaceDN w:val="0"/>
        <w:bidi w:val="0"/>
        <w:adjustRightInd w:val="0"/>
        <w:snapToGrid/>
        <w:spacing w:line="240" w:lineRule="atLeast"/>
        <w:jc w:val="center"/>
        <w:textAlignment w:val="auto"/>
        <w:outlineLvl w:val="9"/>
        <w:rPr>
          <w:rFonts w:hint="eastAsia" w:ascii="仿宋_GB2312" w:hAnsi="仿宋_GB2312" w:eastAsia="仿宋_GB2312" w:cs="仿宋_GB2312"/>
          <w:kern w:val="36"/>
          <w:sz w:val="28"/>
          <w:szCs w:val="28"/>
          <w:highlight w:val="none"/>
        </w:rPr>
      </w:pPr>
      <w:r>
        <w:rPr>
          <w:rFonts w:hint="eastAsia" w:ascii="仿宋_GB2312" w:hAnsi="仿宋_GB2312" w:eastAsia="仿宋_GB2312" w:cs="仿宋_GB2312"/>
          <w:kern w:val="36"/>
          <w:sz w:val="28"/>
          <w:szCs w:val="28"/>
          <w:highlight w:val="none"/>
        </w:rPr>
        <w:t>深环</w:t>
      </w:r>
      <w:r>
        <w:rPr>
          <w:rFonts w:hint="eastAsia" w:ascii="仿宋_GB2312" w:hAnsi="仿宋_GB2312" w:eastAsia="仿宋_GB2312" w:cs="仿宋_GB2312"/>
          <w:kern w:val="36"/>
          <w:sz w:val="28"/>
          <w:szCs w:val="28"/>
          <w:highlight w:val="none"/>
          <w:lang w:eastAsia="zh-CN"/>
        </w:rPr>
        <w:t>南山</w:t>
      </w:r>
      <w:r>
        <w:rPr>
          <w:rFonts w:hint="eastAsia" w:ascii="仿宋_GB2312" w:hAnsi="仿宋_GB2312" w:eastAsia="仿宋_GB2312" w:cs="仿宋_GB2312"/>
          <w:kern w:val="36"/>
          <w:sz w:val="28"/>
          <w:szCs w:val="28"/>
          <w:highlight w:val="none"/>
        </w:rPr>
        <w:t>责改字</w:t>
      </w:r>
      <w:r>
        <w:rPr>
          <w:rFonts w:hint="eastAsia" w:ascii="宋体" w:hAnsi="宋体" w:eastAsia="宋体" w:cs="宋体"/>
          <w:kern w:val="36"/>
          <w:sz w:val="28"/>
          <w:szCs w:val="28"/>
          <w:highlight w:val="none"/>
        </w:rPr>
        <w:t>〔</w:t>
      </w:r>
      <w:r>
        <w:rPr>
          <w:rFonts w:hint="eastAsia" w:ascii="仿宋_GB2312" w:hAnsi="仿宋_GB2312" w:eastAsia="仿宋_GB2312" w:cs="仿宋_GB2312"/>
          <w:kern w:val="36"/>
          <w:sz w:val="28"/>
          <w:szCs w:val="28"/>
          <w:highlight w:val="none"/>
        </w:rPr>
        <w:t>20</w:t>
      </w:r>
      <w:r>
        <w:rPr>
          <w:rFonts w:hint="eastAsia" w:ascii="仿宋_GB2312" w:hAnsi="仿宋_GB2312" w:eastAsia="仿宋_GB2312" w:cs="仿宋_GB2312"/>
          <w:b w:val="0"/>
          <w:bCs/>
          <w:kern w:val="36"/>
          <w:sz w:val="28"/>
          <w:szCs w:val="28"/>
          <w:highlight w:val="none"/>
          <w:lang w:val="en-US" w:eastAsia="zh-CN"/>
        </w:rPr>
        <w:t>24</w:t>
      </w:r>
      <w:r>
        <w:rPr>
          <w:rFonts w:hint="eastAsia" w:ascii="宋体" w:hAnsi="宋体" w:eastAsia="宋体" w:cs="宋体"/>
          <w:kern w:val="36"/>
          <w:sz w:val="28"/>
          <w:szCs w:val="28"/>
          <w:highlight w:val="none"/>
        </w:rPr>
        <w:t>〕</w:t>
      </w:r>
      <w:r>
        <w:rPr>
          <w:rFonts w:hint="eastAsia" w:ascii="仿宋_GB2312" w:hAnsi="仿宋_GB2312" w:eastAsia="仿宋_GB2312" w:cs="仿宋_GB2312"/>
          <w:kern w:val="36"/>
          <w:sz w:val="28"/>
          <w:szCs w:val="28"/>
          <w:highlight w:val="none"/>
          <w:lang w:val="en-US" w:eastAsia="zh-CN"/>
        </w:rPr>
        <w:t>183</w:t>
      </w:r>
      <w:r>
        <w:rPr>
          <w:rFonts w:hint="eastAsia" w:ascii="仿宋_GB2312" w:hAnsi="仿宋_GB2312" w:eastAsia="仿宋_GB2312" w:cs="仿宋_GB2312"/>
          <w:kern w:val="36"/>
          <w:sz w:val="28"/>
          <w:szCs w:val="28"/>
          <w:highlight w:val="none"/>
        </w:rPr>
        <w:t>号</w:t>
      </w:r>
    </w:p>
    <w:p w14:paraId="74D347FB">
      <w:pPr>
        <w:keepNext w:val="0"/>
        <w:keepLines w:val="0"/>
        <w:pageBreakBefore w:val="0"/>
        <w:widowControl w:val="0"/>
        <w:kinsoku/>
        <w:wordWrap/>
        <w:overflowPunct/>
        <w:topLinePunct w:val="0"/>
        <w:autoSpaceDE w:val="0"/>
        <w:autoSpaceDN w:val="0"/>
        <w:bidi w:val="0"/>
        <w:adjustRightInd w:val="0"/>
        <w:snapToGrid/>
        <w:spacing w:line="240" w:lineRule="atLeast"/>
        <w:jc w:val="left"/>
        <w:textAlignment w:val="auto"/>
        <w:outlineLvl w:val="9"/>
        <w:rPr>
          <w:rFonts w:hint="eastAsia" w:ascii="仿宋_GB2312" w:hAnsi="仿宋_GB2312" w:eastAsia="仿宋_GB2312" w:cs="仿宋_GB2312"/>
          <w:kern w:val="36"/>
          <w:sz w:val="28"/>
          <w:szCs w:val="28"/>
          <w:highlight w:val="none"/>
          <w:u w:val="none"/>
        </w:rPr>
      </w:pPr>
    </w:p>
    <w:p w14:paraId="2A261CAA">
      <w:pPr>
        <w:keepNext w:val="0"/>
        <w:keepLines w:val="0"/>
        <w:pageBreakBefore w:val="0"/>
        <w:widowControl w:val="0"/>
        <w:kinsoku/>
        <w:wordWrap/>
        <w:overflowPunct/>
        <w:topLinePunct w:val="0"/>
        <w:autoSpaceDE w:val="0"/>
        <w:autoSpaceDN w:val="0"/>
        <w:bidi w:val="0"/>
        <w:adjustRightInd w:val="0"/>
        <w:snapToGrid/>
        <w:spacing w:line="240" w:lineRule="atLeast"/>
        <w:jc w:val="left"/>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240" w:lineRule="atLeast"/>
        <w:jc w:val="left"/>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240" w:lineRule="atLeast"/>
        <w:jc w:val="left"/>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 xml:space="preserve">统一社会信用代码：***  </w:t>
      </w:r>
    </w:p>
    <w:p w14:paraId="50363996">
      <w:pPr>
        <w:keepNext w:val="0"/>
        <w:keepLines w:val="0"/>
        <w:pageBreakBefore w:val="0"/>
        <w:widowControl w:val="0"/>
        <w:kinsoku/>
        <w:wordWrap/>
        <w:overflowPunct/>
        <w:topLinePunct w:val="0"/>
        <w:autoSpaceDE w:val="0"/>
        <w:autoSpaceDN w:val="0"/>
        <w:bidi w:val="0"/>
        <w:adjustRightInd w:val="0"/>
        <w:snapToGrid/>
        <w:spacing w:line="240" w:lineRule="atLeast"/>
        <w:jc w:val="left"/>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 xml:space="preserve">住所地：***                                                                                                                               </w:t>
      </w:r>
    </w:p>
    <w:p w14:paraId="79DC1897">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2024年7月11日，我局执法人员对你单位位于***的经营场所进行执法检查，检查发现你单位正常营业，现场有2条轻汽检测线、1条轻柴检测线、1条重柴检测线、2条安全性能</w:t>
      </w:r>
      <w:bookmarkStart w:id="0" w:name="_GoBack"/>
      <w:bookmarkEnd w:id="0"/>
      <w:r>
        <w:rPr>
          <w:rFonts w:hint="eastAsia" w:ascii="仿宋_GB2312" w:hAnsi="仿宋_GB2312" w:eastAsia="仿宋_GB2312" w:cs="仿宋_GB2312"/>
          <w:kern w:val="36"/>
          <w:sz w:val="28"/>
          <w:szCs w:val="28"/>
          <w:highlight w:val="none"/>
          <w:u w:val="none"/>
        </w:rPr>
        <w:t>检测线。</w:t>
      </w:r>
    </w:p>
    <w:p w14:paraId="4E8376FD">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执法人员现场调取你单位于2024年3月28日对粤B***及2024年3月29日对赣A***进行机动车排放检验的视频，发现两台车辆均在5号重柴检验线进行排放检验，视频显示检测人员对粤B***和赣A***使用加载减速法采样时，采样管插入深度明显短于400mm。</w:t>
      </w:r>
    </w:p>
    <w:p w14:paraId="167F8AFF">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你单位上述行为不符合《柴油车污染物排放限值及测量方法（自由加速法及加载减速法）》（GB 3847-2018）中附录B（规范性附录）加载减速法中B.2.3.1.5：“发动机熄火，变速器置空挡，将不透光烟度计的采样探头置于大气中，检查不透光烟度计的零刻度和满刻度。检查完毕后，将采样探头插入受检车辆的排气管中，注意连接好不透光烟度计，采样探头的插入深度不得低于400 mm”的规定。</w:t>
      </w:r>
    </w:p>
    <w:p w14:paraId="0C4366DD">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 xml:space="preserve">你单位作为机动车排放检验机构，存在未依据法定的检测方法、检测标准对机动车排气污染进行检测的环境违法行为。                                                        </w:t>
      </w:r>
    </w:p>
    <w:p w14:paraId="7437C69F">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以上事实，主要有以下证据材料证明：</w:t>
      </w:r>
    </w:p>
    <w:p w14:paraId="55A9BB55">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1、2024年7月11日、2024年9月24日我局执法人员制作的现场检查（勘察）笔录，2024年7月15日我局执法人员制作的调查询问笔录，证明我局执法人员的执法检查、调查情况；</w:t>
      </w:r>
    </w:p>
    <w:p w14:paraId="4362D53C">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2、2024年7月11日我局执法人员制作的现场照片（图片/视频）、2024年7月11日我局执法人员调取的你单位于2024年3月28日对粤B***及2024年3月29日对赣A***进行机动车排放检验的视频，证明你单位存在未依据法定的检测方法、检测标准对机动车排气污染进行检测的环境违法行为；</w:t>
      </w:r>
    </w:p>
    <w:p w14:paraId="48A9F2D9">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3、2024年7月11日你单位提供的营业执照复印件、身份证复印件、2024年9月24日你单位提供的法定代表人身份证明书等材料，证明你单位的主体适格；</w:t>
      </w:r>
    </w:p>
    <w:p w14:paraId="5927733F">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4、执法人员执法证复印件2份,证明执法人员身份合法。</w:t>
      </w:r>
    </w:p>
    <w:p w14:paraId="0325858C">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 xml:space="preserve">你单位上述行为违反了《广东省机动车排气污染防治条例》第十八条第一项“ 机动车排放检验机构应当遵守下列规定：（一）依据法定的检测方法、检测标准对机动车排气污染进行检测”的规定。 </w:t>
      </w:r>
    </w:p>
    <w:p w14:paraId="02C16632">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5F9311F8">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如上述违法行为属于应依法直接给予行政处罚的情形，则对该行为的处罚不以整改结果为前提条件。</w:t>
      </w:r>
    </w:p>
    <w:p w14:paraId="1E98B84C">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我局将自责令改正期限届满三十日内对你单位违法行为的改正情况实施复查。若复查时发现你单位拒不改正的，我局可根据违法行为依法采取法律赋予生态环境部门的监管措施。</w:t>
      </w:r>
    </w:p>
    <w:p w14:paraId="0C443844">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你单位在我局实施复查前，可以向我局报告整改情况，并附具相关证明材料。</w:t>
      </w:r>
    </w:p>
    <w:p w14:paraId="14A0B1D7">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E6D530F">
      <w:pPr>
        <w:keepNext w:val="0"/>
        <w:keepLines w:val="0"/>
        <w:pageBreakBefore w:val="0"/>
        <w:widowControl w:val="0"/>
        <w:kinsoku/>
        <w:wordWrap/>
        <w:overflowPunct/>
        <w:topLinePunct w:val="0"/>
        <w:bidi w:val="0"/>
        <w:snapToGrid/>
        <w:spacing w:line="240" w:lineRule="atLeast"/>
        <w:ind w:firstLine="560" w:firstLineChars="200"/>
        <w:textAlignment w:val="auto"/>
        <w:outlineLvl w:val="9"/>
        <w:rPr>
          <w:rFonts w:hint="eastAsia" w:ascii="仿宋_GB2312" w:hAnsi="仿宋_GB2312" w:eastAsia="仿宋_GB2312" w:cs="仿宋_GB2312"/>
          <w:kern w:val="36"/>
          <w:sz w:val="28"/>
          <w:szCs w:val="28"/>
          <w:highlight w:val="none"/>
          <w:u w:val="none"/>
        </w:rPr>
      </w:pPr>
      <w:r>
        <w:rPr>
          <w:rFonts w:hint="eastAsia" w:ascii="仿宋_GB2312" w:hAnsi="仿宋_GB2312" w:eastAsia="仿宋_GB2312" w:cs="仿宋_GB2312"/>
          <w:kern w:val="36"/>
          <w:sz w:val="28"/>
          <w:szCs w:val="28"/>
          <w:highlight w:val="none"/>
          <w:u w:val="none"/>
          <w:lang w:val="zh-CN"/>
        </w:rPr>
        <w:t>联系人：</w:t>
      </w:r>
      <w:r>
        <w:rPr>
          <w:rFonts w:hint="eastAsia" w:ascii="仿宋_GB2312" w:hAnsi="仿宋_GB2312" w:eastAsia="仿宋_GB2312" w:cs="仿宋_GB2312"/>
          <w:kern w:val="36"/>
          <w:sz w:val="28"/>
          <w:szCs w:val="28"/>
          <w:highlight w:val="none"/>
          <w:u w:val="none"/>
          <w:lang w:val="en-US" w:eastAsia="zh-CN"/>
        </w:rPr>
        <w:t>李汉文</w:t>
      </w:r>
      <w:r>
        <w:rPr>
          <w:rFonts w:hint="eastAsia" w:ascii="仿宋_GB2312" w:hAnsi="仿宋_GB2312" w:eastAsia="仿宋_GB2312" w:cs="仿宋_GB2312"/>
          <w:kern w:val="36"/>
          <w:sz w:val="28"/>
          <w:szCs w:val="28"/>
          <w:highlight w:val="none"/>
          <w:u w:val="none"/>
          <w:lang w:val="en-US" w:eastAsia="zh-CN"/>
        </w:rPr>
        <w:t xml:space="preserve"> </w:t>
      </w:r>
      <w:r>
        <w:rPr>
          <w:rFonts w:hint="eastAsia" w:ascii="仿宋_GB2312" w:hAnsi="仿宋_GB2312" w:eastAsia="仿宋_GB2312" w:cs="仿宋_GB2312"/>
          <w:kern w:val="36"/>
          <w:sz w:val="28"/>
          <w:szCs w:val="28"/>
          <w:highlight w:val="none"/>
          <w:u w:val="none"/>
        </w:rPr>
        <w:t>联系电话：</w:t>
      </w:r>
      <w:r>
        <w:rPr>
          <w:rFonts w:hint="eastAsia" w:ascii="仿宋_GB2312" w:hAnsi="仿宋_GB2312" w:eastAsia="仿宋_GB2312" w:cs="仿宋_GB2312"/>
          <w:kern w:val="36"/>
          <w:sz w:val="28"/>
          <w:szCs w:val="28"/>
          <w:highlight w:val="none"/>
          <w:u w:val="none"/>
          <w:lang w:val="en-US" w:eastAsia="zh-CN"/>
        </w:rPr>
        <w:t>0755-26560940</w:t>
      </w:r>
      <w:r>
        <w:rPr>
          <w:rFonts w:hint="eastAsia" w:ascii="仿宋_GB2312" w:hAnsi="仿宋_GB2312" w:eastAsia="仿宋_GB2312" w:cs="仿宋_GB2312"/>
          <w:kern w:val="36"/>
          <w:sz w:val="28"/>
          <w:szCs w:val="28"/>
          <w:highlight w:val="none"/>
          <w:u w:val="none"/>
        </w:rPr>
        <w:t>，联系地址：</w:t>
      </w:r>
      <w:r>
        <w:rPr>
          <w:rFonts w:hint="eastAsia" w:ascii="仿宋_GB2312" w:hAnsi="仿宋_GB2312" w:eastAsia="仿宋_GB2312" w:cs="仿宋_GB2312"/>
          <w:kern w:val="36"/>
          <w:sz w:val="28"/>
          <w:szCs w:val="28"/>
          <w:highlight w:val="none"/>
          <w:u w:val="none"/>
          <w:lang w:val="en-US" w:eastAsia="zh-CN"/>
        </w:rPr>
        <w:t>深圳市南山区泉园路13号环境大厦</w:t>
      </w:r>
    </w:p>
    <w:p w14:paraId="44C99838">
      <w:pPr>
        <w:keepNext w:val="0"/>
        <w:keepLines w:val="0"/>
        <w:pageBreakBefore w:val="0"/>
        <w:widowControl w:val="0"/>
        <w:kinsoku/>
        <w:overflowPunct/>
        <w:topLinePunct w:val="0"/>
        <w:bidi w:val="0"/>
        <w:snapToGrid/>
        <w:spacing w:line="240" w:lineRule="atLeast"/>
        <w:ind w:right="480"/>
        <w:jc w:val="right"/>
        <w:textAlignment w:val="auto"/>
        <w:outlineLvl w:val="9"/>
        <w:rPr>
          <w:rFonts w:hint="eastAsia" w:ascii="仿宋_GB2312" w:hAnsi="仿宋_GB2312" w:eastAsia="仿宋_GB2312" w:cs="仿宋_GB2312"/>
          <w:kern w:val="36"/>
          <w:sz w:val="28"/>
          <w:szCs w:val="28"/>
          <w:highlight w:val="none"/>
        </w:rPr>
      </w:pPr>
      <w:r>
        <w:rPr>
          <w:rFonts w:hint="eastAsia" w:ascii="仿宋_GB2312" w:hAnsi="仿宋_GB2312" w:eastAsia="仿宋_GB2312" w:cs="仿宋_GB2312"/>
          <w:kern w:val="36"/>
          <w:sz w:val="28"/>
          <w:szCs w:val="28"/>
          <w:highlight w:val="none"/>
        </w:rPr>
        <w:t>深圳市生态环境局南山管理局</w:t>
      </w:r>
    </w:p>
    <w:p w14:paraId="7600F276">
      <w:pPr>
        <w:keepNext w:val="0"/>
        <w:keepLines w:val="0"/>
        <w:pageBreakBefore w:val="0"/>
        <w:widowControl w:val="0"/>
        <w:kinsoku/>
        <w:wordWrap w:val="0"/>
        <w:overflowPunct/>
        <w:topLinePunct w:val="0"/>
        <w:bidi w:val="0"/>
        <w:snapToGrid/>
        <w:spacing w:line="240" w:lineRule="atLeast"/>
        <w:ind w:right="480"/>
        <w:jc w:val="center"/>
        <w:textAlignment w:val="auto"/>
        <w:outlineLvl w:val="9"/>
        <w:rPr>
          <w:rFonts w:hint="eastAsia" w:ascii="仿宋_GB2312" w:hAnsi="仿宋_GB2312" w:eastAsia="仿宋_GB2312" w:cs="仿宋_GB2312"/>
          <w:kern w:val="36"/>
          <w:sz w:val="28"/>
          <w:szCs w:val="28"/>
          <w:highlight w:val="none"/>
        </w:rPr>
      </w:pPr>
      <w:r>
        <w:rPr>
          <w:rFonts w:hint="eastAsia" w:ascii="仿宋_GB2312" w:hAnsi="仿宋_GB2312" w:eastAsia="仿宋_GB2312" w:cs="仿宋_GB2312"/>
          <w:kern w:val="36"/>
          <w:sz w:val="28"/>
          <w:szCs w:val="28"/>
          <w:highlight w:val="none"/>
        </w:rPr>
        <w:t xml:space="preserve">                                               </w:t>
      </w:r>
      <w:r>
        <w:rPr>
          <w:rFonts w:hint="eastAsia" w:ascii="仿宋_GB2312" w:hAnsi="仿宋_GB2312" w:eastAsia="仿宋_GB2312" w:cs="仿宋_GB2312"/>
          <w:kern w:val="36"/>
          <w:sz w:val="28"/>
          <w:szCs w:val="28"/>
          <w:highlight w:val="none"/>
          <w:u w:val="none"/>
          <w:lang w:val="en-US" w:eastAsia="zh-CN"/>
        </w:rPr>
        <w:t>2024</w:t>
      </w:r>
      <w:r>
        <w:rPr>
          <w:rFonts w:hint="eastAsia" w:ascii="仿宋_GB2312" w:hAnsi="仿宋_GB2312" w:eastAsia="仿宋_GB2312" w:cs="仿宋_GB2312"/>
          <w:kern w:val="36"/>
          <w:sz w:val="28"/>
          <w:szCs w:val="28"/>
          <w:highlight w:val="none"/>
          <w:u w:val="none"/>
        </w:rPr>
        <w:t>年</w:t>
      </w:r>
      <w:r>
        <w:rPr>
          <w:rFonts w:hint="eastAsia" w:ascii="仿宋_GB2312" w:hAnsi="仿宋_GB2312" w:eastAsia="仿宋_GB2312" w:cs="仿宋_GB2312"/>
          <w:kern w:val="36"/>
          <w:sz w:val="28"/>
          <w:szCs w:val="28"/>
          <w:highlight w:val="none"/>
          <w:u w:val="none"/>
          <w:lang w:val="en-US" w:eastAsia="zh-CN"/>
        </w:rPr>
        <w:t>9</w:t>
      </w:r>
      <w:r>
        <w:rPr>
          <w:rFonts w:hint="eastAsia" w:ascii="仿宋_GB2312" w:hAnsi="仿宋_GB2312" w:eastAsia="仿宋_GB2312" w:cs="仿宋_GB2312"/>
          <w:kern w:val="36"/>
          <w:sz w:val="28"/>
          <w:szCs w:val="28"/>
          <w:highlight w:val="none"/>
          <w:u w:val="none"/>
        </w:rPr>
        <w:t>月</w:t>
      </w:r>
      <w:r>
        <w:rPr>
          <w:rFonts w:hint="eastAsia" w:ascii="仿宋_GB2312" w:hAnsi="仿宋_GB2312" w:eastAsia="仿宋_GB2312" w:cs="仿宋_GB2312"/>
          <w:kern w:val="36"/>
          <w:sz w:val="28"/>
          <w:szCs w:val="28"/>
          <w:highlight w:val="none"/>
          <w:u w:val="none"/>
          <w:lang w:val="en-US" w:eastAsia="zh-CN"/>
        </w:rPr>
        <w:t>25</w:t>
      </w:r>
      <w:r>
        <w:rPr>
          <w:rFonts w:hint="eastAsia" w:ascii="仿宋_GB2312" w:hAnsi="仿宋_GB2312" w:eastAsia="仿宋_GB2312" w:cs="仿宋_GB2312"/>
          <w:kern w:val="36"/>
          <w:sz w:val="28"/>
          <w:szCs w:val="28"/>
          <w:highlight w:val="none"/>
          <w:u w:val="none"/>
        </w:rPr>
        <w:t>日</w:t>
      </w:r>
      <w:r>
        <w:rPr>
          <w:rFonts w:hint="eastAsia" w:ascii="仿宋_GB2312" w:hAnsi="仿宋_GB2312" w:eastAsia="仿宋_GB2312" w:cs="仿宋_GB2312"/>
          <w:kern w:val="36"/>
          <w:sz w:val="28"/>
          <w:szCs w:val="28"/>
          <w:highlight w:val="none"/>
        </w:rPr>
        <w:t xml:space="preserve"> </w:t>
      </w:r>
      <w:r>
        <w:rPr>
          <w:rFonts w:hint="eastAsia" w:ascii="仿宋_GB2312" w:hAnsi="仿宋_GB2312" w:eastAsia="仿宋_GB2312" w:cs="仿宋_GB2312"/>
          <w:kern w:val="36"/>
          <w:sz w:val="28"/>
          <w:szCs w:val="28"/>
          <w:highlight w:val="none"/>
        </w:rPr>
        <w:t xml:space="preserve">  </w:t>
      </w:r>
    </w:p>
    <w:sectPr>
      <w:footerReference r:id="rId3" w:type="default"/>
      <w:pgSz w:w="11906" w:h="16838"/>
      <w:pgMar w:top="907" w:right="1134" w:bottom="907"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A8F0552"/>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5DC38AD"/>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3A81BA2"/>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018F"/>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 w:type="paragraph" w:customStyle="1" w:styleId="10">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1408</Words>
  <Characters>1530</Characters>
  <Lines>0</Lines>
  <Paragraphs>0</Paragraphs>
  <TotalTime>3</TotalTime>
  <ScaleCrop>false</ScaleCrop>
  <LinksUpToDate>false</LinksUpToDate>
  <CharactersWithSpaces>1844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2024-09-27T07:34:42Z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