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盐田区妇幼保健院综合楼建设工程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default" w:ascii="仿宋_GB2312" w:hAnsi="仿宋_GB2312" w:eastAsia="仿宋_GB2312" w:cs="仿宋_GB2312"/>
                <w:kern w:val="0"/>
                <w:sz w:val="24"/>
                <w:szCs w:val="24"/>
                <w:lang w:val="en-US"/>
              </w:rPr>
              <w:t>深圳市盐田区建筑工程事务署</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深圳市大众工程管理有限公司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湖南建工集团（深圳）建设有限公司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91440300MA5GQG0F9J</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海山街道，海景二路以西，东和路以南</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后浇带以西底板、人防墙及承台浇筑，浇筑方量约1000立方。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混凝土泵车3台，混凝土振捣棒6个。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21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13048816874</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2024年12月9日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591E55"/>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505777F"/>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BCD0CAE"/>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876320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BF104B"/>
    <w:rsid w:val="4ECA51DC"/>
    <w:rsid w:val="4FE6773D"/>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E9429F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1204</Characters>
  <Lines>0</Lines>
  <Paragraphs>0</Paragraphs>
  <TotalTime>0</TotalTime>
  <ScaleCrop>false</ScaleCrop>
  <LinksUpToDate>false</LinksUpToDate>
  <CharactersWithSpaces>1213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