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1</w:t>
            </w:r>
            <w:r>
              <w:rPr>
                <w:rFonts w:hint="default" w:ascii="仿宋_GB2312" w:hAnsi="仿宋_GB2312" w:eastAsia="仿宋_GB2312" w:cs="仿宋_GB2312"/>
                <w:kern w:val="0"/>
                <w:sz w:val="24"/>
                <w:szCs w:val="24"/>
                <w:lang w:val="en-US" w:eastAsia="zh-CN"/>
              </w:rPr>
              <w:t>地块主体工程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地下室一区负2层墙柱、负1层梁板混凝土浇筑，浇筑方量约950立方。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2024年12月4日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6003D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1132</Words>
  <Characters>1230</Characters>
  <Lines>0</Lines>
  <Paragraphs>0</Paragraphs>
  <TotalTime>0</TotalTime>
  <ScaleCrop>false</ScaleCrop>
  <LinksUpToDate>false</LinksUpToDate>
  <CharactersWithSpaces>1240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eyJoZGlkIjoiNjhkNjgxNGM3YzE5YzU1N2QwZWM3MjdiOWNmZWZmOWQiLCJ1c2VySWQiOiIyMDI2NTQ1MDkifQ==</vt:lpwstr>
  </property>
</Properties>
</file>