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40"/>
        </w:rPr>
      </w:pPr>
      <w:r>
        <w:rPr>
          <w:rFonts w:hint="eastAsia" w:ascii="黑体" w:hAnsi="黑体" w:eastAsia="黑体" w:cs="黑体"/>
          <w:sz w:val="32"/>
          <w:szCs w:val="40"/>
        </w:rPr>
        <w:t>附件</w:t>
      </w:r>
      <w:r>
        <w:rPr>
          <w:rFonts w:hint="default" w:ascii="黑体" w:hAnsi="黑体" w:eastAsia="黑体" w:cs="黑体"/>
          <w:sz w:val="32"/>
          <w:szCs w:val="40"/>
          <w:lang w:val="en-US"/>
        </w:rPr>
        <w:t>1</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深圳市近</w:t>
      </w:r>
      <w:bookmarkStart w:id="0" w:name="_GoBack"/>
      <w:bookmarkEnd w:id="0"/>
      <w:r>
        <w:rPr>
          <w:rFonts w:hint="eastAsia" w:ascii="方正小标宋简体" w:hAnsi="方正小标宋简体" w:eastAsia="方正小标宋简体" w:cs="方正小标宋简体"/>
          <w:bCs/>
          <w:sz w:val="44"/>
          <w:szCs w:val="44"/>
        </w:rPr>
        <w:t>零碳排放区试点验收评分表</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（试行）</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85"/>
        <w:gridCol w:w="75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exact"/>
          <w:tblHeader/>
          <w:jc w:val="center"/>
        </w:trPr>
        <w:tc>
          <w:tcPr>
            <w:tcW w:w="7585" w:type="dxa"/>
            <w:tcBorders>
              <w:left w:val="single" w:color="auto" w:sz="12" w:space="0"/>
            </w:tcBorders>
            <w:vAlign w:val="center"/>
          </w:tcPr>
          <w:p>
            <w:pPr>
              <w:snapToGrid w:val="0"/>
              <w:spacing w:before="31" w:beforeLines="10"/>
              <w:jc w:val="center"/>
              <w:rPr>
                <w:rFonts w:ascii="仿宋_GB2312" w:hAnsi="Calibri" w:eastAsia="仿宋_GB2312" w:cs="Times New Roman"/>
                <w:b/>
                <w:bCs/>
                <w:sz w:val="24"/>
                <w:szCs w:val="28"/>
              </w:rPr>
            </w:pPr>
            <w:r>
              <w:rPr>
                <w:rFonts w:hint="eastAsia" w:ascii="仿宋_GB2312" w:hAnsi="Calibri" w:eastAsia="仿宋_GB2312" w:cs="Times New Roman"/>
                <w:b/>
                <w:bCs/>
                <w:sz w:val="24"/>
                <w:szCs w:val="28"/>
              </w:rPr>
              <w:t>评价内容</w:t>
            </w:r>
          </w:p>
        </w:tc>
        <w:tc>
          <w:tcPr>
            <w:tcW w:w="750" w:type="dxa"/>
            <w:vAlign w:val="center"/>
          </w:tcPr>
          <w:p>
            <w:pPr>
              <w:snapToGrid w:val="0"/>
              <w:spacing w:before="31" w:beforeLines="10"/>
              <w:jc w:val="center"/>
              <w:rPr>
                <w:rFonts w:ascii="仿宋_GB2312" w:hAnsi="Calibri" w:eastAsia="仿宋_GB2312" w:cs="Times New Roman"/>
                <w:b/>
                <w:bCs/>
                <w:sz w:val="24"/>
                <w:szCs w:val="28"/>
              </w:rPr>
            </w:pPr>
            <w:r>
              <w:rPr>
                <w:rFonts w:hint="eastAsia" w:ascii="仿宋_GB2312" w:hAnsi="Calibri" w:eastAsia="仿宋_GB2312" w:cs="Times New Roman"/>
                <w:b/>
                <w:bCs/>
                <w:sz w:val="24"/>
                <w:szCs w:val="28"/>
              </w:rPr>
              <w:t>分值</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b/>
                <w:bCs/>
                <w:sz w:val="24"/>
                <w:szCs w:val="28"/>
              </w:rPr>
            </w:pPr>
            <w:r>
              <w:rPr>
                <w:rFonts w:hint="eastAsia" w:ascii="仿宋_GB2312" w:hAnsi="Calibri" w:eastAsia="仿宋_GB2312" w:cs="Times New Roman"/>
                <w:b/>
                <w:bCs/>
                <w:sz w:val="24"/>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一、核心指标完成情况</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 xml:space="preserve">根据《深圳市近零碳排放区试点建设实施方案》（深环〔2021〕212号）（以下简称《实施方案》）中建设指引及申报时/变更备案后创建方案中设定的创建目标和指标体系，对试点项目建设核心指标完成情况进行评估。 </w:t>
            </w:r>
          </w:p>
          <w:p>
            <w:pPr>
              <w:snapToGrid w:val="0"/>
              <w:spacing w:before="31" w:beforeLines="10"/>
              <w:ind w:firstLine="480" w:firstLineChars="200"/>
              <w:jc w:val="left"/>
              <w:rPr>
                <w:rFonts w:ascii="仿宋_GB2312" w:hAnsi="Calibri" w:eastAsia="仿宋_GB2312"/>
                <w:sz w:val="24"/>
              </w:rPr>
            </w:pPr>
            <w:r>
              <w:rPr>
                <w:rFonts w:hint="eastAsia" w:ascii="仿宋_GB2312" w:hAnsi="Calibri" w:eastAsia="仿宋_GB2312"/>
                <w:sz w:val="24"/>
              </w:rPr>
              <w:t>各类型指标分值设定详见表1-表6，各核心指标得分之和为该项最终得分。</w:t>
            </w:r>
            <w:r>
              <w:rPr>
                <w:rFonts w:hint="eastAsia" w:ascii="仿宋_GB2312" w:hAnsi="Calibri" w:eastAsia="仿宋_GB2312" w:cs="Times New Roman"/>
                <w:sz w:val="24"/>
                <w:szCs w:val="28"/>
              </w:rPr>
              <w:t>对于非量化指标，达成则纳入优秀指标计算范围。具体打分方式如下：</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优秀：验收时指标值超过</w:t>
            </w:r>
            <w:r>
              <w:rPr>
                <w:rFonts w:hint="eastAsia" w:ascii="仿宋_GB2312" w:hAnsi="Calibri" w:eastAsia="仿宋_GB2312" w:cs="Times New Roman"/>
                <w:sz w:val="24"/>
                <w:szCs w:val="28"/>
              </w:rPr>
              <w:t>《实施方案》中参考值20%及以上，指标得分取对应指标分值的100%；</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良好：</w:t>
            </w:r>
            <w:r>
              <w:rPr>
                <w:rFonts w:hint="eastAsia" w:ascii="仿宋_GB2312" w:hAnsi="Calibri" w:eastAsia="仿宋_GB2312"/>
                <w:sz w:val="24"/>
              </w:rPr>
              <w:t>验收时指标值超过</w:t>
            </w:r>
            <w:r>
              <w:rPr>
                <w:rFonts w:hint="eastAsia" w:ascii="仿宋_GB2312" w:hAnsi="Calibri" w:eastAsia="仿宋_GB2312" w:cs="Times New Roman"/>
                <w:sz w:val="24"/>
                <w:szCs w:val="28"/>
              </w:rPr>
              <w:t>《实施方案》中参考值10%（含）</w:t>
            </w:r>
            <w:r>
              <w:rPr>
                <w:rFonts w:ascii="Times New Roman" w:hAnsi="Times New Roman" w:eastAsia="仿宋_GB2312" w:cs="Times New Roman"/>
                <w:sz w:val="24"/>
                <w:szCs w:val="28"/>
              </w:rPr>
              <w:t>~</w:t>
            </w:r>
            <w:r>
              <w:rPr>
                <w:rFonts w:hint="eastAsia" w:ascii="仿宋_GB2312" w:hAnsi="Calibri" w:eastAsia="仿宋_GB2312" w:cs="Times New Roman"/>
                <w:sz w:val="24"/>
                <w:szCs w:val="28"/>
              </w:rPr>
              <w:t>20%，指标得分酌情取对应指标分值的70%（含）-100%（不含100%）；</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及格：</w:t>
            </w:r>
            <w:r>
              <w:rPr>
                <w:rFonts w:hint="eastAsia" w:ascii="仿宋_GB2312" w:hAnsi="Calibri" w:eastAsia="仿宋_GB2312"/>
                <w:sz w:val="24"/>
              </w:rPr>
              <w:t>验收时指标值达到</w:t>
            </w:r>
            <w:r>
              <w:rPr>
                <w:rFonts w:hint="eastAsia" w:ascii="仿宋_GB2312" w:hAnsi="Calibri" w:eastAsia="仿宋_GB2312" w:cs="Times New Roman"/>
                <w:sz w:val="24"/>
                <w:szCs w:val="28"/>
              </w:rPr>
              <w:t>《实施方案》中参考值，指标得分酌情取对应指标分值的60%（含）-70%；</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不及格：</w:t>
            </w:r>
            <w:r>
              <w:rPr>
                <w:rFonts w:hint="eastAsia" w:ascii="仿宋_GB2312" w:hAnsi="Calibri" w:eastAsia="仿宋_GB2312"/>
                <w:sz w:val="24"/>
              </w:rPr>
              <w:t>验收时指标值未达到</w:t>
            </w:r>
            <w:r>
              <w:rPr>
                <w:rFonts w:hint="eastAsia" w:ascii="仿宋_GB2312" w:hAnsi="Calibri" w:eastAsia="仿宋_GB2312" w:cs="Times New Roman"/>
                <w:sz w:val="24"/>
                <w:szCs w:val="28"/>
              </w:rPr>
              <w:t>《实施方案》中参考值，指标得分酌情取对应指标分值的60%以下。</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40</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585" w:type="dxa"/>
            <w:tcBorders>
              <w:left w:val="single" w:color="auto" w:sz="12" w:space="0"/>
            </w:tcBorders>
            <w:vAlign w:val="center"/>
          </w:tcPr>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二、一般指标完成情况</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根据《实施方案》中建设指引及申报时/变更备案后创建方案中设定的创建目标和指标体系，对试点项目建设一般指标完成情况进行评估。</w:t>
            </w:r>
          </w:p>
          <w:p>
            <w:pPr>
              <w:ind w:firstLine="480" w:firstLineChars="200"/>
              <w:jc w:val="left"/>
              <w:rPr>
                <w:rFonts w:ascii="仿宋_GB2312" w:hAnsi="Calibri" w:eastAsia="仿宋_GB2312"/>
                <w:sz w:val="24"/>
              </w:rPr>
            </w:pPr>
            <w:r>
              <w:rPr>
                <w:rFonts w:hint="eastAsia" w:ascii="仿宋_GB2312" w:hAnsi="Calibri" w:eastAsia="仿宋_GB2312"/>
                <w:sz w:val="24"/>
              </w:rPr>
              <w:t>各类型指标分值设定详见表1-表6，各一般指标得分之和为该项最终得分。</w:t>
            </w:r>
            <w:r>
              <w:rPr>
                <w:rFonts w:hint="eastAsia" w:ascii="仿宋_GB2312" w:hAnsi="Calibri" w:eastAsia="仿宋_GB2312" w:cs="Times New Roman"/>
                <w:sz w:val="24"/>
                <w:szCs w:val="28"/>
              </w:rPr>
              <w:t>对于非量化指标，达成则纳入优秀指标计算范围。具体打分方式如下：</w:t>
            </w:r>
          </w:p>
          <w:p>
            <w:pPr>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优秀：验收时指标值超过</w:t>
            </w:r>
            <w:r>
              <w:rPr>
                <w:rFonts w:hint="eastAsia" w:ascii="仿宋_GB2312" w:hAnsi="Calibri" w:eastAsia="仿宋_GB2312" w:cs="Times New Roman"/>
                <w:sz w:val="24"/>
                <w:szCs w:val="28"/>
              </w:rPr>
              <w:t>《实施方案》中参考值20%及以上，指标得分取对应指标分值的100%；</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良好：</w:t>
            </w:r>
            <w:r>
              <w:rPr>
                <w:rFonts w:hint="eastAsia" w:ascii="仿宋_GB2312" w:hAnsi="Calibri" w:eastAsia="仿宋_GB2312"/>
                <w:sz w:val="24"/>
              </w:rPr>
              <w:t>验收时指标值超过</w:t>
            </w:r>
            <w:r>
              <w:rPr>
                <w:rFonts w:hint="eastAsia" w:ascii="仿宋_GB2312" w:hAnsi="Calibri" w:eastAsia="仿宋_GB2312" w:cs="Times New Roman"/>
                <w:sz w:val="24"/>
                <w:szCs w:val="28"/>
              </w:rPr>
              <w:t>《实施方案》中参考值10%（含）</w:t>
            </w:r>
            <w:r>
              <w:rPr>
                <w:rFonts w:ascii="Times New Roman" w:hAnsi="Times New Roman" w:eastAsia="仿宋_GB2312" w:cs="Times New Roman"/>
                <w:sz w:val="24"/>
                <w:szCs w:val="28"/>
              </w:rPr>
              <w:t>~</w:t>
            </w:r>
            <w:r>
              <w:rPr>
                <w:rFonts w:hint="eastAsia" w:ascii="仿宋_GB2312" w:hAnsi="Calibri" w:eastAsia="仿宋_GB2312" w:cs="Times New Roman"/>
                <w:sz w:val="24"/>
                <w:szCs w:val="28"/>
              </w:rPr>
              <w:t>20%，指标得分酌情取对应指标分值的70%（含）-100%（不含100%）；</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及格：</w:t>
            </w:r>
            <w:r>
              <w:rPr>
                <w:rFonts w:hint="eastAsia" w:ascii="仿宋_GB2312" w:hAnsi="Calibri" w:eastAsia="仿宋_GB2312"/>
                <w:sz w:val="24"/>
              </w:rPr>
              <w:t>验收时指标值达到</w:t>
            </w:r>
            <w:r>
              <w:rPr>
                <w:rFonts w:hint="eastAsia" w:ascii="仿宋_GB2312" w:hAnsi="Calibri" w:eastAsia="仿宋_GB2312" w:cs="Times New Roman"/>
                <w:sz w:val="24"/>
                <w:szCs w:val="28"/>
              </w:rPr>
              <w:t>《实施方案》中参考值，指标得分酌情取对应指标分值的60%（含）-70%；</w:t>
            </w:r>
          </w:p>
          <w:p>
            <w:pPr>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不及格：</w:t>
            </w:r>
            <w:r>
              <w:rPr>
                <w:rFonts w:hint="eastAsia" w:ascii="仿宋_GB2312" w:hAnsi="Calibri" w:eastAsia="仿宋_GB2312"/>
                <w:sz w:val="24"/>
              </w:rPr>
              <w:t>验收时指标值未达到</w:t>
            </w:r>
            <w:r>
              <w:rPr>
                <w:rFonts w:hint="eastAsia" w:ascii="仿宋_GB2312" w:hAnsi="Calibri" w:eastAsia="仿宋_GB2312" w:cs="Times New Roman"/>
                <w:sz w:val="24"/>
                <w:szCs w:val="28"/>
              </w:rPr>
              <w:t>《实施方案》中参考值，指标得分酌情取对应指标分值的60%以下。</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20</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03"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三、项目低碳路径创新性</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包括对试点项目所采用的低碳技术的应用范围、技术创新点、技术难点、技术安全性等进行评估，并核查该技术在试点项目中的实际应用效果。</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优秀得分为18</w:t>
            </w:r>
            <w:r>
              <w:rPr>
                <w:rFonts w:hint="eastAsia" w:ascii="Times New Roman" w:hAnsi="Times New Roman" w:eastAsia="仿宋_GB2312"/>
                <w:sz w:val="24"/>
              </w:rPr>
              <w:t>~</w:t>
            </w:r>
            <w:r>
              <w:rPr>
                <w:rFonts w:hint="eastAsia" w:ascii="仿宋_GB2312" w:hAnsi="Calibri" w:eastAsia="仿宋_GB2312"/>
                <w:sz w:val="24"/>
              </w:rPr>
              <w:t>20分；良好得分为14</w:t>
            </w:r>
            <w:r>
              <w:rPr>
                <w:rFonts w:hint="eastAsia" w:ascii="Times New Roman" w:hAnsi="Times New Roman" w:eastAsia="仿宋_GB2312"/>
                <w:sz w:val="24"/>
              </w:rPr>
              <w:t>~17</w:t>
            </w:r>
            <w:r>
              <w:rPr>
                <w:rFonts w:hint="eastAsia" w:ascii="仿宋_GB2312" w:hAnsi="Calibri" w:eastAsia="仿宋_GB2312"/>
                <w:sz w:val="24"/>
              </w:rPr>
              <w:t>分；及格得分为12</w:t>
            </w:r>
            <w:r>
              <w:rPr>
                <w:rFonts w:hint="eastAsia" w:ascii="Times New Roman" w:hAnsi="Times New Roman" w:eastAsia="仿宋_GB2312"/>
                <w:sz w:val="24"/>
              </w:rPr>
              <w:t>~</w:t>
            </w:r>
            <w:r>
              <w:rPr>
                <w:rFonts w:hint="eastAsia" w:ascii="仿宋_GB2312" w:hAnsi="Calibri" w:eastAsia="仿宋_GB2312"/>
                <w:sz w:val="24"/>
              </w:rPr>
              <w:t>13分；不及格酌情评分。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20</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7"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四、项目低碳路径示范推广性</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包括对试点项目所采用的低碳技术的可复制性、可推广性进行评估。</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优秀得分为</w:t>
            </w:r>
            <w:r>
              <w:rPr>
                <w:rFonts w:hint="eastAsia" w:ascii="Times New Roman" w:hAnsi="Times New Roman" w:eastAsia="仿宋_GB2312"/>
                <w:sz w:val="24"/>
              </w:rPr>
              <w:t>1</w:t>
            </w:r>
            <w:r>
              <w:rPr>
                <w:rFonts w:hint="eastAsia" w:ascii="仿宋_GB2312" w:hAnsi="Calibri" w:eastAsia="仿宋_GB2312"/>
                <w:sz w:val="24"/>
              </w:rPr>
              <w:t>0分；良好得分为</w:t>
            </w:r>
            <w:r>
              <w:rPr>
                <w:rFonts w:hint="eastAsia" w:ascii="Times New Roman" w:hAnsi="Times New Roman" w:eastAsia="仿宋_GB2312"/>
                <w:sz w:val="24"/>
              </w:rPr>
              <w:t>8~9</w:t>
            </w:r>
            <w:r>
              <w:rPr>
                <w:rFonts w:hint="eastAsia" w:ascii="仿宋_GB2312" w:hAnsi="Calibri" w:eastAsia="仿宋_GB2312"/>
                <w:sz w:val="24"/>
              </w:rPr>
              <w:t>分；及格得分为6</w:t>
            </w:r>
            <w:r>
              <w:rPr>
                <w:rFonts w:hint="eastAsia" w:ascii="Times New Roman" w:hAnsi="Times New Roman" w:eastAsia="仿宋_GB2312"/>
                <w:sz w:val="24"/>
              </w:rPr>
              <w:t>~7</w:t>
            </w:r>
            <w:r>
              <w:rPr>
                <w:rFonts w:hint="eastAsia" w:ascii="仿宋_GB2312" w:hAnsi="Calibri" w:eastAsia="仿宋_GB2312"/>
                <w:sz w:val="24"/>
              </w:rPr>
              <w:t>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10</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3"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五、碳排放管理完整度及适用情况</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评估项目所采用的碳排放管理体系是否完备、完整、有效覆盖了所有与碳排放相关的环节和过程，并评估该管理体系的适用情况。</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sz w:val="24"/>
              </w:rPr>
              <w:t>优秀得分为5分；良好得分为4分；及格得分为3分；不及格酌情评分。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5</w:t>
            </w:r>
          </w:p>
        </w:tc>
        <w:tc>
          <w:tcPr>
            <w:tcW w:w="874" w:type="dxa"/>
            <w:tcBorders>
              <w:right w:val="single" w:color="auto" w:sz="12" w:space="0"/>
            </w:tcBorders>
            <w:vAlign w:val="center"/>
          </w:tcPr>
          <w:p>
            <w:pPr>
              <w:snapToGrid w:val="0"/>
              <w:spacing w:before="31" w:beforeLines="10"/>
              <w:jc w:val="center"/>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6" w:hRule="atLeast"/>
          <w:jc w:val="center"/>
        </w:trPr>
        <w:tc>
          <w:tcPr>
            <w:tcW w:w="7585" w:type="dxa"/>
            <w:tcBorders>
              <w:left w:val="single" w:color="auto" w:sz="12" w:space="0"/>
            </w:tcBorders>
            <w:vAlign w:val="center"/>
          </w:tcPr>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六、持续优化提升、建设零碳排放区的可能性。</w:t>
            </w:r>
          </w:p>
          <w:p>
            <w:pPr>
              <w:snapToGrid w:val="0"/>
              <w:spacing w:before="31" w:beforeLines="10"/>
              <w:ind w:firstLine="480" w:firstLineChars="200"/>
              <w:jc w:val="left"/>
              <w:rPr>
                <w:rFonts w:ascii="仿宋_GB2312" w:hAnsi="Calibri" w:eastAsia="仿宋_GB2312" w:cs="Times New Roman"/>
                <w:sz w:val="24"/>
                <w:szCs w:val="28"/>
              </w:rPr>
            </w:pPr>
            <w:r>
              <w:rPr>
                <w:rFonts w:hint="eastAsia" w:ascii="仿宋_GB2312" w:hAnsi="Calibri" w:eastAsia="仿宋_GB2312" w:cs="Times New Roman"/>
                <w:sz w:val="24"/>
                <w:szCs w:val="28"/>
              </w:rPr>
              <w:t>评估项目是否具有持续优化提升并创建零碳排放区试点的工作条件。</w:t>
            </w:r>
          </w:p>
          <w:p>
            <w:pPr>
              <w:snapToGrid w:val="0"/>
              <w:spacing w:before="31" w:beforeLines="10"/>
              <w:ind w:firstLine="480" w:firstLineChars="200"/>
              <w:jc w:val="left"/>
              <w:rPr>
                <w:rFonts w:ascii="仿宋_GB2312" w:hAnsi="Calibri" w:eastAsia="仿宋_GB2312"/>
                <w:sz w:val="24"/>
              </w:rPr>
            </w:pPr>
            <w:r>
              <w:rPr>
                <w:rFonts w:hint="eastAsia" w:ascii="仿宋_GB2312" w:hAnsi="Calibri" w:eastAsia="仿宋_GB2312"/>
                <w:sz w:val="24"/>
              </w:rPr>
              <w:t>优秀得分为5分；良好得分为4分；及格得分为3分；不及格酌情评分。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5</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585" w:type="dxa"/>
            <w:tcBorders>
              <w:left w:val="single" w:color="auto" w:sz="12" w:space="0"/>
            </w:tcBorders>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总  分</w:t>
            </w:r>
          </w:p>
        </w:tc>
        <w:tc>
          <w:tcPr>
            <w:tcW w:w="750" w:type="dxa"/>
            <w:vAlign w:val="center"/>
          </w:tcPr>
          <w:p>
            <w:pPr>
              <w:snapToGrid w:val="0"/>
              <w:spacing w:before="31" w:beforeLines="10"/>
              <w:jc w:val="center"/>
              <w:rPr>
                <w:rFonts w:ascii="仿宋_GB2312" w:hAnsi="Calibri" w:eastAsia="仿宋_GB2312" w:cs="Times New Roman"/>
                <w:sz w:val="24"/>
                <w:szCs w:val="28"/>
              </w:rPr>
            </w:pPr>
            <w:r>
              <w:rPr>
                <w:rFonts w:hint="eastAsia" w:ascii="仿宋_GB2312" w:hAnsi="Calibri" w:eastAsia="仿宋_GB2312" w:cs="Times New Roman"/>
                <w:sz w:val="24"/>
                <w:szCs w:val="28"/>
              </w:rPr>
              <w:t>100</w:t>
            </w:r>
          </w:p>
        </w:tc>
        <w:tc>
          <w:tcPr>
            <w:tcW w:w="874" w:type="dxa"/>
            <w:tcBorders>
              <w:right w:val="single" w:color="auto" w:sz="12" w:space="0"/>
            </w:tcBorders>
            <w:vAlign w:val="center"/>
          </w:tcPr>
          <w:p>
            <w:pPr>
              <w:snapToGrid w:val="0"/>
              <w:spacing w:before="31" w:beforeLines="10"/>
              <w:rPr>
                <w:rFonts w:ascii="仿宋_GB2312" w:hAnsi="Calibri" w:eastAsia="仿宋_GB2312" w:cs="Times New Roman"/>
                <w:sz w:val="24"/>
                <w:szCs w:val="28"/>
              </w:rPr>
            </w:pPr>
          </w:p>
        </w:tc>
      </w:tr>
    </w:tbl>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注：1.对于低碳基础较好的、完成总量下降目标难度大的试点项目，验收评价核心指标中碳排放指标时，原则上主要评价其碳排放强度指标。</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对设有特色创新性一般指标的试点项目，其建筑、交通、能源类特色创新性一般指标可得3分，绿地、废弃物、管理类的特色创新性一般指标可得2分，可在已有一般指标得分的基础上进行加分但所有一般指标总分不超过20分。</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3.试点项目创建方案所设一般指标总分未达20分的，依照等比例转换法则，折算得出20分制的得分。</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如果</w:t>
      </w:r>
      <w:r>
        <w:rPr>
          <w:rFonts w:hint="eastAsia" w:ascii="仿宋_GB2312" w:hAnsi="Calibri" w:eastAsia="仿宋_GB2312" w:cs="Times New Roman"/>
          <w:sz w:val="24"/>
          <w:szCs w:val="28"/>
        </w:rPr>
        <w:t>《实施方案》中的核心指标或一般</w:t>
      </w:r>
      <w:r>
        <w:rPr>
          <w:rFonts w:hint="eastAsia" w:ascii="仿宋_GB2312" w:hAnsi="仿宋_GB2312" w:eastAsia="仿宋_GB2312" w:cs="仿宋_GB2312"/>
          <w:sz w:val="24"/>
        </w:rPr>
        <w:t>指标</w:t>
      </w:r>
      <w:r>
        <w:rPr>
          <w:rFonts w:hint="eastAsia" w:ascii="仿宋_GB2312" w:hAnsi="Calibri" w:eastAsia="仿宋_GB2312" w:cs="Times New Roman"/>
          <w:sz w:val="24"/>
          <w:szCs w:val="28"/>
        </w:rPr>
        <w:t>参考</w:t>
      </w:r>
      <w:r>
        <w:rPr>
          <w:rFonts w:hint="eastAsia" w:ascii="仿宋_GB2312" w:hAnsi="仿宋_GB2312" w:eastAsia="仿宋_GB2312" w:cs="仿宋_GB2312"/>
          <w:sz w:val="24"/>
        </w:rPr>
        <w:t>值为100%，则具体打分方式如下：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优秀：验收时指标值达到100%，指标得分取对应指标分值的100%；</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良好：验收时指标值达到90%（含）-100%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，指标得分取对应指标分值的70%（含）-100%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及格：验收时指标值达到80%（含）-90%，指标得分取对应指标分值的60%（含）-70%；</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不及格：验收时指标值未达到80%，指标得分酌情取对应指标分值的60%以下。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w:t>
      </w:r>
      <w:r>
        <w:rPr>
          <w:rFonts w:hint="eastAsia" w:ascii="仿宋_GB2312" w:hAnsi="仿宋_GB2312" w:eastAsia="仿宋_GB2312" w:cs="仿宋_GB2312"/>
          <w:sz w:val="24"/>
        </w:rPr>
        <w:t>如果</w:t>
      </w:r>
      <w:r>
        <w:rPr>
          <w:rFonts w:hint="eastAsia" w:ascii="仿宋_GB2312" w:hAnsi="Calibri" w:eastAsia="仿宋_GB2312" w:cs="Times New Roman"/>
          <w:sz w:val="24"/>
          <w:szCs w:val="28"/>
        </w:rPr>
        <w:t>《实施方案》中的核心指标或一般</w:t>
      </w:r>
      <w:r>
        <w:rPr>
          <w:rFonts w:hint="eastAsia" w:ascii="仿宋_GB2312" w:hAnsi="仿宋_GB2312" w:eastAsia="仿宋_GB2312" w:cs="仿宋_GB2312"/>
          <w:sz w:val="24"/>
        </w:rPr>
        <w:t>指标</w:t>
      </w:r>
      <w:r>
        <w:rPr>
          <w:rFonts w:hint="eastAsia" w:ascii="仿宋_GB2312" w:hAnsi="Calibri" w:eastAsia="仿宋_GB2312" w:cs="Times New Roman"/>
          <w:sz w:val="24"/>
          <w:szCs w:val="28"/>
        </w:rPr>
        <w:t>参考</w:t>
      </w:r>
      <w:r>
        <w:rPr>
          <w:rFonts w:hint="eastAsia" w:ascii="仿宋_GB2312" w:hAnsi="仿宋_GB2312" w:eastAsia="仿宋_GB2312" w:cs="仿宋_GB2312"/>
          <w:sz w:val="24"/>
        </w:rPr>
        <w:t>值为92%，则具体打分方式如下：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优秀：验收时指标值达到97%（含）-100%，指标得分取对应指标分值的100%；</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良好：验收时指标值达到94%（含）-97%，指标得分取对应指标分值的70%（含）-100%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及格：验收时指标值达到92%（含）-94%，指标得分取对应指标分值的60%（含）-70%；</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不及格：验收时指标值未达到92%，指标得分酌情取对应指标分值的60%以下。</w:t>
      </w:r>
    </w:p>
    <w:p>
      <w:pPr>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如果</w:t>
      </w:r>
      <w:r>
        <w:rPr>
          <w:rFonts w:hint="eastAsia" w:ascii="仿宋_GB2312" w:hAnsi="Calibri" w:eastAsia="仿宋_GB2312" w:cs="Times New Roman"/>
          <w:sz w:val="24"/>
          <w:szCs w:val="28"/>
        </w:rPr>
        <w:t>《实施方案》中核心指标或一般</w:t>
      </w:r>
      <w:r>
        <w:rPr>
          <w:rFonts w:hint="eastAsia" w:ascii="仿宋_GB2312" w:hAnsi="仿宋_GB2312" w:eastAsia="仿宋_GB2312" w:cs="仿宋_GB2312"/>
          <w:sz w:val="24"/>
        </w:rPr>
        <w:t>指标</w:t>
      </w:r>
      <w:r>
        <w:rPr>
          <w:rFonts w:hint="eastAsia" w:ascii="仿宋_GB2312" w:hAnsi="Calibri" w:eastAsia="仿宋_GB2312" w:cs="Times New Roman"/>
          <w:sz w:val="24"/>
          <w:szCs w:val="28"/>
        </w:rPr>
        <w:t>参考</w:t>
      </w:r>
      <w:r>
        <w:rPr>
          <w:rFonts w:hint="eastAsia" w:ascii="仿宋_GB2312" w:hAnsi="仿宋_GB2312" w:eastAsia="仿宋_GB2312" w:cs="仿宋_GB2312"/>
          <w:sz w:val="24"/>
        </w:rPr>
        <w:t>值为9</w:t>
      </w:r>
      <w:r>
        <w:rPr>
          <w:rFonts w:ascii="仿宋_GB2312" w:hAnsi="仿宋_GB2312" w:eastAsia="仿宋_GB2312" w:cs="仿宋_GB2312"/>
          <w:sz w:val="24"/>
        </w:rPr>
        <w:t>0</w:t>
      </w:r>
      <w:r>
        <w:rPr>
          <w:rFonts w:hint="eastAsia" w:ascii="仿宋_GB2312" w:hAnsi="仿宋_GB2312" w:eastAsia="仿宋_GB2312" w:cs="仿宋_GB2312"/>
          <w:sz w:val="24"/>
        </w:rPr>
        <w:t>%，则具体打分方式如下：</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优秀：验收时指标值达到96%（含）-100%，指标得分取对应指标分值的100%；</w:t>
      </w:r>
    </w:p>
    <w:p>
      <w:pPr>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良好：验收时指标值达到92%（含）-96%，指标得分取对应指标分值的70%（含）-100%</w:t>
      </w:r>
      <w:r>
        <w:rPr>
          <w:rFonts w:hint="eastAsia" w:ascii="仿宋_GB2312" w:hAnsi="Calibri" w:eastAsia="仿宋_GB2312" w:cs="Times New Roman"/>
          <w:sz w:val="24"/>
          <w:szCs w:val="28"/>
        </w:rPr>
        <w:t>（不含100%）</w:t>
      </w:r>
      <w:r>
        <w:rPr>
          <w:rFonts w:hint="eastAsia" w:ascii="仿宋_GB2312" w:hAnsi="仿宋_GB2312" w:eastAsia="仿宋_GB2312" w:cs="仿宋_GB2312"/>
          <w:sz w:val="24"/>
        </w:rPr>
        <w:t>；</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及格：验收时指标值达到9</w:t>
      </w:r>
      <w:r>
        <w:rPr>
          <w:rFonts w:ascii="仿宋_GB2312" w:hAnsi="仿宋_GB2312" w:eastAsia="仿宋_GB2312" w:cs="仿宋_GB2312"/>
          <w:sz w:val="24"/>
        </w:rPr>
        <w:t>0</w:t>
      </w:r>
      <w:r>
        <w:rPr>
          <w:rFonts w:hint="eastAsia" w:ascii="仿宋_GB2312" w:hAnsi="仿宋_GB2312" w:eastAsia="仿宋_GB2312" w:cs="仿宋_GB2312"/>
          <w:sz w:val="24"/>
        </w:rPr>
        <w:t>%（含）-92%，指标得分取对应指标分值的60%（含）-70%；</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不及格：验收时指标值未达到9</w:t>
      </w:r>
      <w:r>
        <w:rPr>
          <w:rFonts w:ascii="仿宋_GB2312" w:hAnsi="仿宋_GB2312" w:eastAsia="仿宋_GB2312" w:cs="仿宋_GB2312"/>
          <w:sz w:val="24"/>
        </w:rPr>
        <w:t>0</w:t>
      </w:r>
      <w:r>
        <w:rPr>
          <w:rFonts w:hint="eastAsia" w:ascii="仿宋_GB2312" w:hAnsi="仿宋_GB2312" w:eastAsia="仿宋_GB2312" w:cs="仿宋_GB2312"/>
          <w:sz w:val="24"/>
        </w:rPr>
        <w:t>%，指标得分酌情取对应指标分值的60%以下。</w:t>
      </w:r>
    </w:p>
    <w:p>
      <w:pPr>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对设有碳排放管理体系指标的试点项目，评估计分规则遵循逐项评判原则，总得分不超过其预设的最大分值，具体评分细则为：</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设立碳排放管理机构，明确岗位职责，指标得分取对应指标分值的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应制定零碳创建策略、实施计划、具体措施以及保持零碳的策略，指标得分取对应指标分值的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应开展低碳宣传活动和培训等，指标得分取对应指标分值的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应加强碳管理专业能力建设，加强人才引进与培养，指标得分取对应指标分值的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应开展碳排放盘查（核算），鼓励建立环境信息披露机制，定期公开环境信息，指标得分取对应指标分值的</w:t>
      </w:r>
      <w:r>
        <w:rPr>
          <w:rFonts w:ascii="仿宋_GB2312" w:hAnsi="仿宋_GB2312" w:eastAsia="仿宋_GB2312" w:cs="仿宋_GB2312"/>
          <w:sz w:val="24"/>
        </w:rPr>
        <w:t>2</w:t>
      </w:r>
      <w:r>
        <w:rPr>
          <w:rFonts w:hint="eastAsia" w:ascii="仿宋_GB2312" w:hAnsi="仿宋_GB2312" w:eastAsia="仿宋_GB2312" w:cs="仿宋_GB2312"/>
          <w:sz w:val="24"/>
        </w:rPr>
        <w:t>0</w:t>
      </w:r>
      <w:r>
        <w:rPr>
          <w:rFonts w:ascii="仿宋_GB2312" w:hAnsi="仿宋_GB2312" w:eastAsia="仿宋_GB2312" w:cs="仿宋_GB2312"/>
          <w:sz w:val="24"/>
        </w:rPr>
        <w:t>%</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.对设有碳排放监测系统指标的试点项目，评估计分规则遵循逐项评判原则，总得分不超过其预设的最大分值，具体评分细则为：</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实现用电、用气、用水自动远传计量系统，指标得分取对应指标分值的5</w:t>
      </w:r>
      <w:r>
        <w:rPr>
          <w:rFonts w:ascii="仿宋_GB2312" w:hAnsi="仿宋_GB2312" w:eastAsia="仿宋_GB2312" w:cs="仿宋_GB2312"/>
          <w:sz w:val="24"/>
        </w:rPr>
        <w:t>0%</w:t>
      </w:r>
      <w:r>
        <w:rPr>
          <w:rFonts w:hint="eastAsia" w:ascii="仿宋_GB2312" w:hAnsi="仿宋_GB2312" w:eastAsia="仿宋_GB2312" w:cs="仿宋_GB2312"/>
          <w:sz w:val="24"/>
        </w:rPr>
        <w:t>；</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实现碳排放监测系统数据可视化，指标得分取对应指标分值的5</w:t>
      </w:r>
      <w:r>
        <w:rPr>
          <w:rFonts w:ascii="仿宋_GB2312" w:hAnsi="仿宋_GB2312" w:eastAsia="仿宋_GB2312" w:cs="仿宋_GB2312"/>
          <w:sz w:val="24"/>
        </w:rPr>
        <w:t>0%</w:t>
      </w:r>
      <w:r>
        <w:rPr>
          <w:rFonts w:hint="eastAsia" w:ascii="仿宋_GB2312" w:hAnsi="仿宋_GB2312" w:eastAsia="仿宋_GB2312" w:cs="仿宋_GB2312"/>
          <w:sz w:val="24"/>
        </w:rPr>
        <w:t>。</w:t>
      </w:r>
    </w:p>
    <w:p>
      <w:pPr>
        <w:rPr>
          <w:rFonts w:hint="eastAsia" w:ascii="黑体" w:hAnsi="黑体" w:eastAsia="黑体" w:cs="黑体"/>
          <w:sz w:val="28"/>
          <w:szCs w:val="32"/>
        </w:rPr>
      </w:pPr>
      <w:r>
        <w:rPr>
          <w:rFonts w:hint="eastAsia" w:ascii="黑体" w:hAnsi="黑体" w:eastAsia="黑体" w:cs="黑体"/>
          <w:sz w:val="28"/>
          <w:szCs w:val="32"/>
        </w:rPr>
        <w:br w:type="page"/>
      </w: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表1近零碳排放区域试点主要指标体系与分数设置</w:t>
      </w:r>
    </w:p>
    <w:tbl>
      <w:tblPr>
        <w:tblStyle w:val="8"/>
        <w:tblW w:w="5407" w:type="pct"/>
        <w:tblInd w:w="-318" w:type="dxa"/>
        <w:tblLayout w:type="autofit"/>
        <w:tblCellMar>
          <w:top w:w="0" w:type="dxa"/>
          <w:left w:w="108" w:type="dxa"/>
          <w:bottom w:w="0" w:type="dxa"/>
          <w:right w:w="108" w:type="dxa"/>
        </w:tblCellMar>
      </w:tblPr>
      <w:tblGrid>
        <w:gridCol w:w="1476"/>
        <w:gridCol w:w="1784"/>
        <w:gridCol w:w="1134"/>
        <w:gridCol w:w="1561"/>
        <w:gridCol w:w="1559"/>
        <w:gridCol w:w="1702"/>
      </w:tblGrid>
      <w:tr>
        <w:tblPrEx>
          <w:tblCellMar>
            <w:top w:w="0" w:type="dxa"/>
            <w:left w:w="108" w:type="dxa"/>
            <w:bottom w:w="0" w:type="dxa"/>
            <w:right w:w="108" w:type="dxa"/>
          </w:tblCellMar>
        </w:tblPrEx>
        <w:trPr>
          <w:trHeight w:val="585" w:hRule="atLeast"/>
        </w:trPr>
        <w:tc>
          <w:tcPr>
            <w:tcW w:w="801"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一级指标</w:t>
            </w:r>
          </w:p>
        </w:tc>
        <w:tc>
          <w:tcPr>
            <w:tcW w:w="968"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指标名称</w:t>
            </w:r>
          </w:p>
        </w:tc>
        <w:tc>
          <w:tcPr>
            <w:tcW w:w="615"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847"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参考值</w:t>
            </w:r>
          </w:p>
        </w:tc>
        <w:tc>
          <w:tcPr>
            <w:tcW w:w="84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指标类型</w:t>
            </w:r>
          </w:p>
        </w:tc>
        <w:tc>
          <w:tcPr>
            <w:tcW w:w="923"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分数设置</w:t>
            </w:r>
          </w:p>
        </w:tc>
      </w:tr>
      <w:tr>
        <w:tblPrEx>
          <w:tblCellMar>
            <w:top w:w="0" w:type="dxa"/>
            <w:left w:w="108" w:type="dxa"/>
            <w:bottom w:w="0" w:type="dxa"/>
            <w:right w:w="108" w:type="dxa"/>
          </w:tblCellMar>
        </w:tblPrEx>
        <w:trPr>
          <w:trHeight w:val="870"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碳排放</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既有区域碳排放总量下降率</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较2020年下降30%以上</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r>
      <w:tr>
        <w:tblPrEx>
          <w:tblCellMar>
            <w:top w:w="0" w:type="dxa"/>
            <w:left w:w="108" w:type="dxa"/>
            <w:bottom w:w="0" w:type="dxa"/>
            <w:right w:w="108" w:type="dxa"/>
          </w:tblCellMar>
        </w:tblPrEx>
        <w:trPr>
          <w:trHeight w:val="960"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区域人均碳排放量</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吨CO</w:t>
            </w:r>
            <w:r>
              <w:rPr>
                <w:rFonts w:hint="eastAsia" w:ascii="仿宋_GB2312" w:hAnsi="宋体" w:eastAsia="仿宋_GB2312" w:cs="宋体"/>
                <w:color w:val="000000"/>
                <w:kern w:val="0"/>
                <w:sz w:val="24"/>
                <w:vertAlign w:val="subscript"/>
              </w:rPr>
              <w:t>2</w:t>
            </w:r>
            <w:r>
              <w:rPr>
                <w:rFonts w:hint="eastAsia" w:ascii="仿宋_GB2312" w:hAnsi="宋体" w:eastAsia="仿宋_GB2312" w:cs="宋体"/>
                <w:color w:val="000000"/>
                <w:kern w:val="0"/>
                <w:sz w:val="24"/>
              </w:rPr>
              <w:t>/（人</w:t>
            </w:r>
            <w:r>
              <w:rPr>
                <w:rFonts w:hint="eastAsia" w:ascii="宋体" w:hAnsi="宋体" w:eastAsia="宋体" w:cs="宋体"/>
                <w:color w:val="000000"/>
                <w:kern w:val="0"/>
                <w:sz w:val="24"/>
              </w:rPr>
              <w:t>•</w:t>
            </w:r>
            <w:r>
              <w:rPr>
                <w:rFonts w:hint="eastAsia" w:ascii="仿宋" w:hAnsi="仿宋" w:eastAsia="仿宋" w:cs="仿宋"/>
                <w:color w:val="000000"/>
                <w:kern w:val="0"/>
                <w:sz w:val="24"/>
              </w:rPr>
              <w:t>年</w:t>
            </w: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r>
      <w:tr>
        <w:tblPrEx>
          <w:tblCellMar>
            <w:top w:w="0" w:type="dxa"/>
            <w:left w:w="108" w:type="dxa"/>
            <w:bottom w:w="0" w:type="dxa"/>
            <w:right w:w="108" w:type="dxa"/>
          </w:tblCellMar>
        </w:tblPrEx>
        <w:trPr>
          <w:trHeight w:val="585"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能源</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可再生能源消费比重</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购买绿色电力比例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0" w:type="dxa"/>
            <w:left w:w="108" w:type="dxa"/>
            <w:bottom w:w="0" w:type="dxa"/>
            <w:right w:w="108" w:type="dxa"/>
          </w:tblCellMar>
        </w:tblPrEx>
        <w:trPr>
          <w:trHeight w:val="870"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建筑</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二星级及以上绿色建筑面积比例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115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新建民用建筑达到绿色建筑二星级及以上比例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≥90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1155"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交通</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新建停车场的新能源汽车充电桩配置率</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新能源路灯占比</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r>
      <w:tr>
        <w:tblPrEx>
          <w:tblCellMar>
            <w:top w:w="0" w:type="dxa"/>
            <w:left w:w="108" w:type="dxa"/>
            <w:bottom w:w="0" w:type="dxa"/>
            <w:right w:w="108" w:type="dxa"/>
          </w:tblCellMar>
        </w:tblPrEx>
        <w:trPr>
          <w:trHeight w:val="300" w:hRule="atLeast"/>
        </w:trPr>
        <w:tc>
          <w:tcPr>
            <w:tcW w:w="801"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绿地</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绿化覆盖率</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870"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废弃物</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人均生活垃圾末端清运处理量</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kg/（人</w:t>
            </w:r>
            <w:r>
              <w:rPr>
                <w:rFonts w:hint="eastAsia" w:ascii="宋体" w:hAnsi="宋体" w:eastAsia="宋体" w:cs="宋体"/>
                <w:color w:val="000000"/>
                <w:kern w:val="0"/>
                <w:sz w:val="24"/>
              </w:rPr>
              <w:t>•</w:t>
            </w:r>
            <w:r>
              <w:rPr>
                <w:rFonts w:hint="eastAsia" w:ascii="仿宋" w:hAnsi="仿宋" w:eastAsia="仿宋" w:cs="仿宋"/>
                <w:color w:val="000000"/>
                <w:kern w:val="0"/>
                <w:sz w:val="24"/>
              </w:rPr>
              <w:t>日</w:t>
            </w: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人均用水量</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L/（人</w:t>
            </w:r>
            <w:r>
              <w:rPr>
                <w:rFonts w:hint="eastAsia" w:ascii="宋体" w:hAnsi="宋体" w:eastAsia="宋体" w:cs="宋体"/>
                <w:color w:val="000000"/>
                <w:kern w:val="0"/>
                <w:sz w:val="24"/>
              </w:rPr>
              <w:t>•</w:t>
            </w:r>
            <w:r>
              <w:rPr>
                <w:rFonts w:hint="eastAsia" w:ascii="仿宋" w:hAnsi="仿宋" w:eastAsia="仿宋" w:cs="仿宋"/>
                <w:color w:val="000000"/>
                <w:kern w:val="0"/>
                <w:sz w:val="24"/>
              </w:rPr>
              <w:t>日</w:t>
            </w: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≤160</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2010" w:hRule="atLeast"/>
        </w:trPr>
        <w:tc>
          <w:tcPr>
            <w:tcW w:w="801"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碳抵消</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购买中国核证自愿减排量（CCER）、深圳碳普惠制核证减排量占碳排放量的比例</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0" w:type="dxa"/>
            <w:left w:w="108" w:type="dxa"/>
            <w:bottom w:w="0" w:type="dxa"/>
            <w:right w:w="108" w:type="dxa"/>
          </w:tblCellMar>
        </w:tblPrEx>
        <w:trPr>
          <w:trHeight w:val="585" w:hRule="atLeast"/>
        </w:trPr>
        <w:tc>
          <w:tcPr>
            <w:tcW w:w="801"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管理</w:t>
            </w: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碳排放管理体系</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r>
      <w:tr>
        <w:tblPrEx>
          <w:tblCellMar>
            <w:top w:w="0" w:type="dxa"/>
            <w:left w:w="108" w:type="dxa"/>
            <w:bottom w:w="0" w:type="dxa"/>
            <w:right w:w="108" w:type="dxa"/>
          </w:tblCellMar>
        </w:tblPrEx>
        <w:trPr>
          <w:trHeight w:val="585" w:hRule="atLeast"/>
        </w:trPr>
        <w:tc>
          <w:tcPr>
            <w:tcW w:w="801" w:type="pct"/>
            <w:vMerge w:val="continue"/>
            <w:tcBorders>
              <w:top w:val="nil"/>
              <w:left w:val="single" w:color="auto" w:sz="8" w:space="0"/>
              <w:bottom w:val="single" w:color="000000" w:sz="8" w:space="0"/>
              <w:right w:val="single" w:color="auto" w:sz="8" w:space="0"/>
            </w:tcBorders>
            <w:vAlign w:val="center"/>
          </w:tcPr>
          <w:p>
            <w:pPr>
              <w:widowControl/>
              <w:jc w:val="left"/>
              <w:rPr>
                <w:rFonts w:hint="eastAsia" w:ascii="仿宋_GB2312" w:hAnsi="宋体" w:eastAsia="仿宋_GB2312" w:cs="宋体"/>
                <w:color w:val="000000"/>
                <w:kern w:val="0"/>
                <w:sz w:val="24"/>
              </w:rPr>
            </w:pPr>
          </w:p>
        </w:tc>
        <w:tc>
          <w:tcPr>
            <w:tcW w:w="968"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碳排放监测系统</w:t>
            </w:r>
          </w:p>
        </w:tc>
        <w:tc>
          <w:tcPr>
            <w:tcW w:w="615"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847"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建立</w:t>
            </w:r>
          </w:p>
        </w:tc>
        <w:tc>
          <w:tcPr>
            <w:tcW w:w="846"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r>
      <w:tr>
        <w:tblPrEx>
          <w:tblCellMar>
            <w:top w:w="0" w:type="dxa"/>
            <w:left w:w="108" w:type="dxa"/>
            <w:bottom w:w="0" w:type="dxa"/>
            <w:right w:w="108" w:type="dxa"/>
          </w:tblCellMar>
        </w:tblPrEx>
        <w:trPr>
          <w:trHeight w:val="300" w:hRule="atLeast"/>
        </w:trPr>
        <w:tc>
          <w:tcPr>
            <w:tcW w:w="4077"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总分</w:t>
            </w:r>
          </w:p>
        </w:tc>
        <w:tc>
          <w:tcPr>
            <w:tcW w:w="923"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表2 近零碳排放园区试点主要指标体系与分数设置</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699"/>
        <w:gridCol w:w="1159"/>
        <w:gridCol w:w="1543"/>
        <w:gridCol w:w="1554"/>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一级指标</w:t>
            </w:r>
          </w:p>
        </w:tc>
        <w:tc>
          <w:tcPr>
            <w:tcW w:w="922"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指标名称</w:t>
            </w:r>
          </w:p>
        </w:tc>
        <w:tc>
          <w:tcPr>
            <w:tcW w:w="629"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837"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参考值</w:t>
            </w:r>
          </w:p>
        </w:tc>
        <w:tc>
          <w:tcPr>
            <w:tcW w:w="843"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指标类型</w:t>
            </w:r>
          </w:p>
        </w:tc>
        <w:tc>
          <w:tcPr>
            <w:tcW w:w="923" w:type="pct"/>
            <w:vAlign w:val="center"/>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碳排放</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既有园区碳排放总量下降率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较2020年下降40%以上</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既有园区单位产值或单位工业增加值碳排放量下降率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较2020年下降40%以上</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能源</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可再生能源消费比重</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购买绿色电力比例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建筑</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二星级及以上绿色建筑面积比例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交通</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园区内绿色交通出行比例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新能源路灯占比</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绿地</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绿化覆盖率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废弃物</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一般工业固体废物综合利用率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工业用水重复利用率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生活垃圾分类收集率</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46"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碳抵消</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购买中国核证自愿减排量（CCER）、深圳碳普惠制核证减排量占碳排放量的比例</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restar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w:t>
            </w: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碳排放管理体系</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建立</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碳排放监测系统</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建立</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一般指标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6" w:type="pct"/>
            <w:vMerge w:val="continue"/>
            <w:vAlign w:val="center"/>
          </w:tcPr>
          <w:p>
            <w:pPr>
              <w:widowControl/>
              <w:jc w:val="center"/>
              <w:rPr>
                <w:rFonts w:hint="eastAsia" w:ascii="仿宋_GB2312" w:hAnsi="仿宋_GB2312" w:eastAsia="仿宋_GB2312" w:cs="仿宋_GB2312"/>
                <w:color w:val="000000"/>
                <w:kern w:val="0"/>
                <w:sz w:val="24"/>
              </w:rPr>
            </w:pPr>
          </w:p>
        </w:tc>
        <w:tc>
          <w:tcPr>
            <w:tcW w:w="922"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碳披露</w:t>
            </w:r>
          </w:p>
        </w:tc>
        <w:tc>
          <w:tcPr>
            <w:tcW w:w="629"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37"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每年定期对外公布园区企业碳排放情况</w:t>
            </w:r>
          </w:p>
        </w:tc>
        <w:tc>
          <w:tcPr>
            <w:tcW w:w="843" w:type="pct"/>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核心指标</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077" w:type="pct"/>
            <w:gridSpan w:val="5"/>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合计</w:t>
            </w:r>
          </w:p>
        </w:tc>
        <w:tc>
          <w:tcPr>
            <w:tcW w:w="923" w:type="pct"/>
            <w:noWrap/>
            <w:vAlign w:val="center"/>
          </w:tcPr>
          <w:p>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表3 近零碳排放社区试点主要指标体系与分数设置</w:t>
      </w:r>
    </w:p>
    <w:tbl>
      <w:tblPr>
        <w:tblStyle w:val="2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134"/>
        <w:gridCol w:w="2019"/>
        <w:gridCol w:w="141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一级指标</w:t>
            </w:r>
          </w:p>
        </w:tc>
        <w:tc>
          <w:tcPr>
            <w:tcW w:w="1701"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指标名称</w:t>
            </w:r>
          </w:p>
        </w:tc>
        <w:tc>
          <w:tcPr>
            <w:tcW w:w="1134"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单位</w:t>
            </w:r>
          </w:p>
        </w:tc>
        <w:tc>
          <w:tcPr>
            <w:tcW w:w="2019"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参考值</w:t>
            </w:r>
          </w:p>
        </w:tc>
        <w:tc>
          <w:tcPr>
            <w:tcW w:w="1418"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指标类型</w:t>
            </w:r>
          </w:p>
        </w:tc>
        <w:tc>
          <w:tcPr>
            <w:tcW w:w="1383" w:type="dxa"/>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既有社区碳排放总量下降率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社区人均碳排放量</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吨CO</w:t>
            </w:r>
            <w:r>
              <w:rPr>
                <w:rFonts w:hint="eastAsia" w:ascii="仿宋_GB2312" w:hAnsi="仿宋_GB2312" w:eastAsia="仿宋_GB2312" w:cs="仿宋_GB2312"/>
                <w:sz w:val="24"/>
                <w:vertAlign w:val="subscript"/>
              </w:rPr>
              <w:t>2</w:t>
            </w:r>
            <w:r>
              <w:rPr>
                <w:rFonts w:hint="eastAsia" w:ascii="仿宋_GB2312" w:hAnsi="仿宋_GB2312" w:eastAsia="仿宋_GB2312" w:cs="仿宋_GB2312"/>
                <w:sz w:val="24"/>
              </w:rPr>
              <w:t>/（人·年）</w:t>
            </w:r>
          </w:p>
        </w:tc>
        <w:tc>
          <w:tcPr>
            <w:tcW w:w="2019" w:type="dxa"/>
            <w:vAlign w:val="center"/>
          </w:tcPr>
          <w:p>
            <w:pPr>
              <w:widowControl/>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城市社区：≤0.65</w:t>
            </w:r>
          </w:p>
          <w:p>
            <w:pPr>
              <w:pStyle w:val="3"/>
              <w:snapToGrid w:val="0"/>
              <w:jc w:val="center"/>
              <w:rPr>
                <w:rFonts w:ascii="仿宋_GB2312" w:hAnsi="仿宋_GB2312" w:eastAsia="仿宋_GB2312" w:cs="仿宋_GB2312"/>
                <w:sz w:val="24"/>
                <w:szCs w:val="24"/>
              </w:rPr>
            </w:pPr>
            <w:r>
              <w:rPr>
                <w:rFonts w:ascii="仿宋_GB2312" w:hAnsi="仿宋_GB2312" w:eastAsia="仿宋_GB2312" w:cs="仿宋_GB2312"/>
                <w:b w:val="0"/>
                <w:sz w:val="24"/>
                <w:szCs w:val="24"/>
              </w:rPr>
              <w:t>农村社区：≤0.5</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能源</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可再生能源消费比重</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城市社区：≥5</w:t>
            </w:r>
          </w:p>
          <w:p>
            <w:pPr>
              <w:pStyle w:val="3"/>
              <w:snapToGrid w:val="0"/>
              <w:jc w:val="center"/>
              <w:rPr>
                <w:rFonts w:ascii="仿宋_GB2312" w:hAnsi="仿宋_GB2312" w:eastAsia="仿宋_GB2312" w:cs="仿宋_GB2312"/>
                <w:sz w:val="24"/>
                <w:szCs w:val="24"/>
              </w:rPr>
            </w:pPr>
            <w:r>
              <w:rPr>
                <w:rFonts w:ascii="仿宋_GB2312" w:hAnsi="仿宋_GB2312" w:eastAsia="仿宋_GB2312" w:cs="仿宋_GB2312"/>
                <w:b w:val="0"/>
                <w:sz w:val="24"/>
                <w:szCs w:val="24"/>
              </w:rPr>
              <w:t>农村社区：≥10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农村社区太阳能热水器普及率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城市社区二星级及以上绿色建筑面积比例</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农村社区推进开展宜居型示范农房建设</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开展试点建设,</w:t>
            </w:r>
          </w:p>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以点带面推进</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交通</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社区内居民拥有的新能源汽车占比</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新建停车场的新能源汽车充电桩配置率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社区内新能源路灯占比</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绿地</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绿化覆盖率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废弃物</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人均生活垃圾末端清运处理量</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kg/（人</w:t>
            </w:r>
            <w:r>
              <w:rPr>
                <w:rFonts w:hint="eastAsia" w:ascii="宋体" w:hAnsi="宋体" w:eastAsia="宋体" w:cs="宋体"/>
                <w:sz w:val="24"/>
              </w:rPr>
              <w:t>•</w:t>
            </w:r>
            <w:r>
              <w:rPr>
                <w:rFonts w:hint="eastAsia" w:ascii="仿宋" w:hAnsi="仿宋" w:eastAsia="仿宋" w:cs="仿宋"/>
                <w:sz w:val="24"/>
              </w:rPr>
              <w:t>日）</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生活垃圾分类收集率</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人均用水量</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L/（人</w:t>
            </w:r>
            <w:r>
              <w:rPr>
                <w:rFonts w:hint="eastAsia" w:ascii="宋体" w:hAnsi="宋体" w:eastAsia="宋体" w:cs="宋体"/>
                <w:sz w:val="24"/>
              </w:rPr>
              <w:t>•</w:t>
            </w:r>
            <w:r>
              <w:rPr>
                <w:rFonts w:hint="eastAsia" w:ascii="仿宋" w:hAnsi="仿宋" w:eastAsia="仿宋" w:cs="仿宋"/>
                <w:sz w:val="24"/>
              </w:rPr>
              <w:t>日）</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≤120</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碳抵消</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管理</w:t>
            </w: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widowControl/>
              <w:jc w:val="center"/>
              <w:rPr>
                <w:rFonts w:hint="eastAsia" w:ascii="仿宋_GB2312" w:hAnsi="仿宋_GB2312" w:eastAsia="仿宋_GB2312" w:cs="仿宋_GB2312"/>
                <w:sz w:val="24"/>
              </w:rPr>
            </w:pPr>
          </w:p>
        </w:tc>
        <w:tc>
          <w:tcPr>
            <w:tcW w:w="1701"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低碳宣传教育活动</w:t>
            </w:r>
          </w:p>
        </w:tc>
        <w:tc>
          <w:tcPr>
            <w:tcW w:w="113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次/年</w:t>
            </w:r>
          </w:p>
        </w:tc>
        <w:tc>
          <w:tcPr>
            <w:tcW w:w="201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组织相关低碳培训、承办相关低碳活动，每年次数≥4次</w:t>
            </w:r>
          </w:p>
        </w:tc>
        <w:tc>
          <w:tcPr>
            <w:tcW w:w="141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2" w:type="dxa"/>
            <w:gridSpan w:val="5"/>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383"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napToGrid w:val="0"/>
        <w:spacing w:before="156" w:beforeLines="50" w:after="156" w:afterLines="50"/>
        <w:jc w:val="center"/>
        <w:rPr>
          <w:rFonts w:hint="eastAsia" w:ascii="黑体" w:hAnsi="黑体" w:eastAsia="黑体" w:cs="黑体"/>
          <w:sz w:val="28"/>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表4 近零碳排放校园试点主要指标体系与分数设置</w:t>
      </w:r>
    </w:p>
    <w:tbl>
      <w:tblPr>
        <w:tblStyle w:val="8"/>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074"/>
        <w:gridCol w:w="1478"/>
        <w:gridCol w:w="1701"/>
        <w:gridCol w:w="132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vMerge w:val="restart"/>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一级</w:t>
            </w:r>
          </w:p>
          <w:p>
            <w:pPr>
              <w:snapToGrid w:val="0"/>
              <w:jc w:val="center"/>
              <w:rPr>
                <w:rFonts w:hint="eastAsia" w:ascii="宋体" w:hAnsi="宋体" w:eastAsia="宋体" w:cs="宋体"/>
                <w:b/>
                <w:bCs/>
                <w:sz w:val="24"/>
              </w:rPr>
            </w:pPr>
            <w:r>
              <w:rPr>
                <w:rFonts w:hint="eastAsia" w:ascii="宋体" w:hAnsi="宋体" w:eastAsia="宋体" w:cs="宋体"/>
                <w:b/>
                <w:bCs/>
                <w:sz w:val="24"/>
              </w:rPr>
              <w:t>指标</w:t>
            </w:r>
          </w:p>
        </w:tc>
        <w:tc>
          <w:tcPr>
            <w:tcW w:w="1984" w:type="dxa"/>
            <w:vMerge w:val="restart"/>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指标名称</w:t>
            </w:r>
          </w:p>
        </w:tc>
        <w:tc>
          <w:tcPr>
            <w:tcW w:w="1074" w:type="dxa"/>
            <w:vMerge w:val="restart"/>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单位</w:t>
            </w:r>
          </w:p>
        </w:tc>
        <w:tc>
          <w:tcPr>
            <w:tcW w:w="3179" w:type="dxa"/>
            <w:gridSpan w:val="2"/>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参考值</w:t>
            </w:r>
          </w:p>
        </w:tc>
        <w:tc>
          <w:tcPr>
            <w:tcW w:w="1326" w:type="dxa"/>
            <w:vMerge w:val="restart"/>
            <w:shd w:val="clear" w:color="auto" w:fill="auto"/>
            <w:vAlign w:val="center"/>
          </w:tcPr>
          <w:p>
            <w:pPr>
              <w:snapToGrid w:val="0"/>
              <w:jc w:val="center"/>
              <w:rPr>
                <w:rFonts w:hint="eastAsia" w:ascii="仿宋_GB2312" w:hAnsi="仿宋_GB2312" w:eastAsia="仿宋_GB2312" w:cs="仿宋_GB2312"/>
                <w:b/>
                <w:bCs/>
                <w:sz w:val="24"/>
              </w:rPr>
            </w:pPr>
            <w:r>
              <w:rPr>
                <w:rFonts w:hint="eastAsia" w:ascii="宋体" w:hAnsi="宋体" w:eastAsia="宋体" w:cs="宋体"/>
                <w:b/>
                <w:bCs/>
                <w:sz w:val="24"/>
              </w:rPr>
              <w:t>指标类型</w:t>
            </w:r>
          </w:p>
        </w:tc>
        <w:tc>
          <w:tcPr>
            <w:tcW w:w="1326" w:type="dxa"/>
            <w:vMerge w:val="restart"/>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vMerge w:val="continue"/>
            <w:shd w:val="clear" w:color="auto" w:fill="auto"/>
            <w:vAlign w:val="center"/>
          </w:tcPr>
          <w:p>
            <w:pPr>
              <w:snapToGrid w:val="0"/>
              <w:jc w:val="center"/>
              <w:rPr>
                <w:rFonts w:hint="eastAsia" w:ascii="宋体" w:hAnsi="宋体" w:eastAsia="宋体" w:cs="宋体"/>
                <w:b/>
                <w:bCs/>
                <w:sz w:val="24"/>
              </w:rPr>
            </w:pPr>
          </w:p>
        </w:tc>
        <w:tc>
          <w:tcPr>
            <w:tcW w:w="1984" w:type="dxa"/>
            <w:vMerge w:val="continue"/>
            <w:shd w:val="clear" w:color="auto" w:fill="auto"/>
            <w:vAlign w:val="center"/>
          </w:tcPr>
          <w:p>
            <w:pPr>
              <w:snapToGrid w:val="0"/>
              <w:jc w:val="center"/>
              <w:rPr>
                <w:rFonts w:hint="eastAsia" w:ascii="宋体" w:hAnsi="宋体" w:eastAsia="宋体" w:cs="宋体"/>
                <w:b/>
                <w:bCs/>
                <w:sz w:val="24"/>
              </w:rPr>
            </w:pPr>
          </w:p>
        </w:tc>
        <w:tc>
          <w:tcPr>
            <w:tcW w:w="1074" w:type="dxa"/>
            <w:vMerge w:val="continue"/>
            <w:shd w:val="clear" w:color="auto" w:fill="auto"/>
            <w:vAlign w:val="center"/>
          </w:tcPr>
          <w:p>
            <w:pPr>
              <w:snapToGrid w:val="0"/>
              <w:jc w:val="center"/>
              <w:rPr>
                <w:rFonts w:hint="eastAsia" w:ascii="宋体" w:hAnsi="宋体" w:eastAsia="宋体" w:cs="宋体"/>
                <w:b/>
                <w:bCs/>
                <w:sz w:val="24"/>
              </w:rPr>
            </w:pPr>
          </w:p>
        </w:tc>
        <w:tc>
          <w:tcPr>
            <w:tcW w:w="1478"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中小学校</w:t>
            </w:r>
          </w:p>
        </w:tc>
        <w:tc>
          <w:tcPr>
            <w:tcW w:w="1701"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职高、高等院校</w:t>
            </w:r>
          </w:p>
        </w:tc>
        <w:tc>
          <w:tcPr>
            <w:tcW w:w="1326" w:type="dxa"/>
            <w:vMerge w:val="continue"/>
            <w:shd w:val="clear" w:color="auto" w:fill="auto"/>
            <w:vAlign w:val="center"/>
          </w:tcPr>
          <w:p>
            <w:pPr>
              <w:snapToGrid w:val="0"/>
              <w:jc w:val="center"/>
              <w:rPr>
                <w:rFonts w:hint="eastAsia" w:ascii="仿宋_GB2312" w:hAnsi="仿宋_GB2312" w:eastAsia="仿宋_GB2312" w:cs="仿宋_GB2312"/>
                <w:b/>
                <w:bCs/>
                <w:sz w:val="24"/>
              </w:rPr>
            </w:pPr>
          </w:p>
        </w:tc>
        <w:tc>
          <w:tcPr>
            <w:tcW w:w="1326" w:type="dxa"/>
            <w:vMerge w:val="continue"/>
            <w:vAlign w:val="center"/>
          </w:tcPr>
          <w:p>
            <w:pPr>
              <w:snapToGrid w:val="0"/>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既有校园碳排放总量下降率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较2020年下降40%以上</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校园人均碳排放量</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吨CO</w:t>
            </w:r>
            <w:r>
              <w:rPr>
                <w:rFonts w:hint="eastAsia" w:ascii="仿宋_GB2312" w:hAnsi="仿宋_GB2312" w:eastAsia="仿宋_GB2312" w:cs="仿宋_GB2312"/>
                <w:sz w:val="24"/>
                <w:vertAlign w:val="subscript"/>
              </w:rPr>
              <w:t>2</w:t>
            </w:r>
            <w:r>
              <w:rPr>
                <w:rFonts w:hint="eastAsia" w:ascii="仿宋_GB2312" w:hAnsi="仿宋_GB2312" w:eastAsia="仿宋_GB2312" w:cs="仿宋_GB2312"/>
                <w:sz w:val="24"/>
              </w:rPr>
              <w:t>/（人·年）</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小学、初级中学和九年一贯制学校</w:t>
            </w:r>
            <w:r>
              <w:rPr>
                <w:rFonts w:hint="eastAsia" w:ascii="仿宋_GB2312" w:hAnsi="仿宋_GB2312" w:eastAsia="仿宋_GB2312" w:cs="仿宋_GB2312"/>
                <w:sz w:val="24"/>
              </w:rPr>
              <w:t>≤0.2</w:t>
            </w:r>
          </w:p>
          <w:p>
            <w:pPr>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高级中学（包括寄宿制）≤</w:t>
            </w:r>
            <w:r>
              <w:rPr>
                <w:rFonts w:hint="eastAsia" w:ascii="仿宋_GB2312" w:hAnsi="仿宋_GB2312" w:eastAsia="仿宋_GB2312" w:cs="仿宋_GB2312"/>
                <w:sz w:val="24"/>
                <w:lang w:val="en-US" w:eastAsia="zh-CN"/>
              </w:rPr>
              <w:t>0.3</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能源</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可再生能源消费比重</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单位建筑面积综合能耗</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kWh/（m</w:t>
            </w:r>
            <w:r>
              <w:rPr>
                <w:rFonts w:ascii="仿宋_GB2312" w:hAnsi="仿宋_GB2312" w:eastAsia="仿宋_GB2312" w:cs="仿宋_GB2312"/>
                <w:sz w:val="24"/>
                <w:vertAlign w:val="superscript"/>
              </w:rPr>
              <w:t>2</w:t>
            </w:r>
            <w:r>
              <w:rPr>
                <w:rFonts w:hint="eastAsia" w:ascii="仿宋_GB2312" w:hAnsi="仿宋_GB2312" w:eastAsia="仿宋_GB2312" w:cs="仿宋_GB2312"/>
                <w:sz w:val="24"/>
              </w:rPr>
              <w:t>·a）</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高等学校≤45</w:t>
            </w:r>
          </w:p>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职业学校≤30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交通</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校园内绿色交通出行比例</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校园内运营车辆的新能源汽车数量占比</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停车场的新能源汽车充电桩配置率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color w:val="FF0000"/>
                <w:sz w:val="24"/>
                <w:highlight w:val="yellow"/>
              </w:rPr>
            </w:pPr>
            <w:r>
              <w:rPr>
                <w:rFonts w:hint="eastAsia" w:ascii="仿宋_GB2312" w:hAnsi="仿宋_GB2312" w:eastAsia="仿宋_GB2312" w:cs="仿宋_GB2312"/>
                <w:sz w:val="24"/>
              </w:rPr>
              <w:t>校园内新能源路灯占比</w:t>
            </w:r>
          </w:p>
        </w:tc>
        <w:tc>
          <w:tcPr>
            <w:tcW w:w="1074" w:type="dxa"/>
            <w:shd w:val="clear" w:color="auto" w:fill="auto"/>
            <w:vAlign w:val="center"/>
          </w:tcPr>
          <w:p>
            <w:pPr>
              <w:snapToGrid w:val="0"/>
              <w:jc w:val="center"/>
              <w:rPr>
                <w:rFonts w:hint="eastAsia" w:ascii="仿宋_GB2312" w:hAnsi="仿宋_GB2312" w:eastAsia="仿宋_GB2312" w:cs="仿宋_GB2312"/>
                <w:color w:val="FF0000"/>
                <w:sz w:val="24"/>
                <w:highlight w:val="yellow"/>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701" w:type="dxa"/>
            <w:shd w:val="clear" w:color="auto" w:fill="auto"/>
            <w:vAlign w:val="center"/>
          </w:tcPr>
          <w:p>
            <w:pPr>
              <w:snapToGrid w:val="0"/>
              <w:jc w:val="center"/>
              <w:rPr>
                <w:rFonts w:hint="eastAsia" w:ascii="仿宋_GB2312" w:hAnsi="仿宋_GB2312" w:eastAsia="仿宋_GB2312" w:cs="仿宋_GB2312"/>
                <w:color w:val="FF0000"/>
                <w:sz w:val="24"/>
                <w:highlight w:val="yellow"/>
              </w:rPr>
            </w:pPr>
            <w:r>
              <w:rPr>
                <w:rFonts w:hint="eastAsia" w:ascii="仿宋_GB2312" w:hAnsi="仿宋_GB2312" w:eastAsia="仿宋_GB2312" w:cs="仿宋_GB2312"/>
                <w:sz w:val="24"/>
              </w:rPr>
              <w:t>≥60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绿地</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绿化覆盖率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废弃物</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人均生活垃圾末端清运处理量</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kg/（人•日）</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≤0.8</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≤0.8</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生活垃圾分类收集率</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人均用水量</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L/（人•日）</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高等学校≤140</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职业学校≤85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碳抵消</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管理</w:t>
            </w: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kern w:val="0"/>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碳排放监测系统</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19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低碳教育</w:t>
            </w:r>
          </w:p>
        </w:tc>
        <w:tc>
          <w:tcPr>
            <w:tcW w:w="107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78"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依托现有学科体系渗透低碳教育，开设低碳校园教育课程</w:t>
            </w:r>
          </w:p>
        </w:tc>
        <w:tc>
          <w:tcPr>
            <w:tcW w:w="1701"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开设低碳校园教育课程，依托科研优势开展技术研发、应用及推广</w:t>
            </w:r>
          </w:p>
        </w:tc>
        <w:tc>
          <w:tcPr>
            <w:tcW w:w="1326"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22" w:type="dxa"/>
            <w:gridSpan w:val="6"/>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326"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黑体" w:hAnsi="黑体" w:eastAsia="黑体" w:cs="黑体"/>
          <w:sz w:val="28"/>
          <w:szCs w:val="32"/>
        </w:rPr>
      </w:pPr>
    </w:p>
    <w:p>
      <w:pPr>
        <w:snapToGrid w:val="0"/>
        <w:spacing w:before="156" w:beforeLines="50" w:after="156" w:afterLines="50"/>
        <w:jc w:val="center"/>
        <w:rPr>
          <w:rFonts w:hint="eastAsia" w:ascii="黑体" w:hAnsi="黑体" w:eastAsia="黑体" w:cs="黑体"/>
          <w:sz w:val="28"/>
          <w:szCs w:val="32"/>
        </w:rPr>
      </w:pPr>
      <w:r>
        <w:rPr>
          <w:rFonts w:hint="eastAsia" w:ascii="黑体" w:hAnsi="黑体" w:eastAsia="黑体" w:cs="黑体"/>
          <w:sz w:val="28"/>
          <w:szCs w:val="32"/>
        </w:rPr>
        <w:t>表5 近零碳排放建筑试点主要指标体系与分数设置</w:t>
      </w:r>
    </w:p>
    <w:tbl>
      <w:tblPr>
        <w:tblStyle w:val="8"/>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6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blHeader/>
          <w:jc w:val="center"/>
        </w:trPr>
        <w:tc>
          <w:tcPr>
            <w:tcW w:w="1951" w:type="dxa"/>
            <w:vMerge w:val="restart"/>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指标名称</w:t>
            </w:r>
          </w:p>
        </w:tc>
        <w:tc>
          <w:tcPr>
            <w:tcW w:w="5387" w:type="dxa"/>
            <w:gridSpan w:val="2"/>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参考值</w:t>
            </w:r>
          </w:p>
        </w:tc>
        <w:tc>
          <w:tcPr>
            <w:tcW w:w="1184" w:type="dxa"/>
            <w:vMerge w:val="restart"/>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指标类型</w:t>
            </w:r>
          </w:p>
        </w:tc>
        <w:tc>
          <w:tcPr>
            <w:tcW w:w="1184" w:type="dxa"/>
            <w:vMerge w:val="restart"/>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blHeader/>
          <w:jc w:val="center"/>
        </w:trPr>
        <w:tc>
          <w:tcPr>
            <w:tcW w:w="1951" w:type="dxa"/>
            <w:vMerge w:val="continue"/>
            <w:shd w:val="clear" w:color="auto" w:fill="auto"/>
            <w:vAlign w:val="center"/>
          </w:tcPr>
          <w:p>
            <w:pPr>
              <w:widowControl/>
              <w:jc w:val="center"/>
              <w:rPr>
                <w:rFonts w:hint="eastAsia" w:ascii="仿宋_GB2312" w:hAnsi="仿宋_GB2312" w:eastAsia="仿宋_GB2312" w:cs="仿宋_GB2312"/>
                <w:b/>
                <w:bCs/>
                <w:sz w:val="24"/>
              </w:rPr>
            </w:pPr>
          </w:p>
        </w:tc>
        <w:tc>
          <w:tcPr>
            <w:tcW w:w="2693" w:type="dxa"/>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居住建筑</w:t>
            </w:r>
          </w:p>
        </w:tc>
        <w:tc>
          <w:tcPr>
            <w:tcW w:w="2694" w:type="dxa"/>
            <w:shd w:val="clear" w:color="auto" w:fill="auto"/>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公共建筑</w:t>
            </w:r>
          </w:p>
        </w:tc>
        <w:tc>
          <w:tcPr>
            <w:tcW w:w="1184" w:type="dxa"/>
            <w:vMerge w:val="continue"/>
            <w:shd w:val="clear" w:color="auto" w:fill="auto"/>
            <w:vAlign w:val="center"/>
          </w:tcPr>
          <w:p>
            <w:pPr>
              <w:widowControl/>
              <w:jc w:val="center"/>
              <w:rPr>
                <w:rFonts w:hint="eastAsia" w:ascii="仿宋_GB2312" w:hAnsi="仿宋_GB2312" w:eastAsia="仿宋_GB2312" w:cs="仿宋_GB2312"/>
                <w:b/>
                <w:bCs/>
                <w:sz w:val="24"/>
              </w:rPr>
            </w:pPr>
          </w:p>
        </w:tc>
        <w:tc>
          <w:tcPr>
            <w:tcW w:w="1184" w:type="dxa"/>
            <w:vMerge w:val="continue"/>
            <w:vAlign w:val="center"/>
          </w:tcPr>
          <w:p>
            <w:pPr>
              <w:widowControl/>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既有建筑碳排放总量下降率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单位建筑面积碳排放量</w:t>
            </w:r>
          </w:p>
        </w:tc>
        <w:tc>
          <w:tcPr>
            <w:tcW w:w="5387" w:type="dxa"/>
            <w:gridSpan w:val="2"/>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≤近零碳排放建筑单位建筑面积碳排放量</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建筑综合节能率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建筑本体节能率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可再生能源利用率</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2693"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951"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碳排放监测系统</w:t>
            </w:r>
          </w:p>
        </w:tc>
        <w:tc>
          <w:tcPr>
            <w:tcW w:w="2693"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269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184" w:type="dxa"/>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22" w:type="dxa"/>
            <w:gridSpan w:val="4"/>
            <w:shd w:val="clear" w:color="auto" w:fill="auto"/>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184"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pacing w:line="560" w:lineRule="exact"/>
        <w:rPr>
          <w:rFonts w:hint="eastAsia" w:ascii="仿宋_GB2312" w:hAnsi="仿宋_GB2312" w:eastAsia="仿宋_GB2312" w:cs="仿宋_GB2312"/>
          <w:sz w:val="32"/>
          <w:szCs w:val="32"/>
        </w:rPr>
      </w:pPr>
    </w:p>
    <w:p>
      <w:pPr>
        <w:snapToGrid w:val="0"/>
        <w:spacing w:before="156" w:beforeLines="50" w:after="156" w:afterLines="50"/>
        <w:jc w:val="center"/>
        <w:rPr>
          <w:rFonts w:hint="eastAsia" w:ascii="仿宋_GB2312" w:hAnsi="仿宋_GB2312" w:eastAsia="仿宋_GB2312" w:cs="仿宋_GB2312"/>
          <w:sz w:val="32"/>
          <w:szCs w:val="32"/>
        </w:rPr>
      </w:pPr>
      <w:r>
        <w:rPr>
          <w:rFonts w:hint="eastAsia" w:ascii="黑体" w:hAnsi="黑体" w:eastAsia="黑体" w:cs="黑体"/>
          <w:sz w:val="28"/>
          <w:szCs w:val="32"/>
        </w:rPr>
        <w:t>表6 近零碳排放企业试点主要指标体系与分数设置</w:t>
      </w:r>
    </w:p>
    <w:tbl>
      <w:tblPr>
        <w:tblStyle w:val="8"/>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15"/>
        <w:gridCol w:w="1170"/>
        <w:gridCol w:w="26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959"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一级</w:t>
            </w:r>
          </w:p>
          <w:p>
            <w:pPr>
              <w:snapToGrid w:val="0"/>
              <w:jc w:val="center"/>
              <w:rPr>
                <w:rFonts w:hint="eastAsia" w:ascii="宋体" w:hAnsi="宋体" w:eastAsia="宋体" w:cs="宋体"/>
                <w:b/>
                <w:bCs/>
                <w:sz w:val="24"/>
              </w:rPr>
            </w:pPr>
            <w:r>
              <w:rPr>
                <w:rFonts w:hint="eastAsia" w:ascii="宋体" w:hAnsi="宋体" w:eastAsia="宋体" w:cs="宋体"/>
                <w:b/>
                <w:bCs/>
                <w:sz w:val="24"/>
              </w:rPr>
              <w:t>指标</w:t>
            </w:r>
          </w:p>
        </w:tc>
        <w:tc>
          <w:tcPr>
            <w:tcW w:w="2515"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指标名称</w:t>
            </w:r>
          </w:p>
        </w:tc>
        <w:tc>
          <w:tcPr>
            <w:tcW w:w="1170"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单位</w:t>
            </w:r>
          </w:p>
        </w:tc>
        <w:tc>
          <w:tcPr>
            <w:tcW w:w="2694"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参考值</w:t>
            </w:r>
          </w:p>
        </w:tc>
        <w:tc>
          <w:tcPr>
            <w:tcW w:w="1184" w:type="dxa"/>
            <w:shd w:val="clear" w:color="auto" w:fill="auto"/>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指标类型</w:t>
            </w:r>
          </w:p>
        </w:tc>
        <w:tc>
          <w:tcPr>
            <w:tcW w:w="1184" w:type="dxa"/>
            <w:vAlign w:val="center"/>
          </w:tcPr>
          <w:p>
            <w:pPr>
              <w:snapToGrid w:val="0"/>
              <w:jc w:val="center"/>
              <w:rPr>
                <w:rFonts w:hint="eastAsia" w:ascii="宋体" w:hAnsi="宋体" w:eastAsia="宋体" w:cs="宋体"/>
                <w:b/>
                <w:bCs/>
                <w:sz w:val="24"/>
              </w:rPr>
            </w:pPr>
            <w:r>
              <w:rPr>
                <w:rFonts w:hint="eastAsia" w:ascii="宋体" w:hAnsi="宋体" w:eastAsia="宋体" w:cs="宋体"/>
                <w:b/>
                <w:bCs/>
                <w:sz w:val="24"/>
              </w:rPr>
              <w:t>分数设置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企业碳排放总量下降率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企业单位产值或单位工业增加值碳排放量下降率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较2020年下降40%以上</w:t>
            </w:r>
          </w:p>
        </w:tc>
        <w:tc>
          <w:tcPr>
            <w:tcW w:w="1184" w:type="dxa"/>
            <w:shd w:val="clear" w:color="auto" w:fill="auto"/>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能源</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可再生能源消费比重</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购买绿色电力比例</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≤30</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建筑</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单位建筑面积综合能耗</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kWh/（m</w:t>
            </w:r>
            <w:r>
              <w:rPr>
                <w:rFonts w:ascii="仿宋_GB2312" w:hAnsi="仿宋_GB2312" w:eastAsia="仿宋_GB2312" w:cs="仿宋_GB2312"/>
                <w:sz w:val="24"/>
                <w:vertAlign w:val="superscript"/>
              </w:rPr>
              <w:t>2</w:t>
            </w:r>
            <w:r>
              <w:rPr>
                <w:rFonts w:hint="eastAsia" w:ascii="仿宋_GB2312" w:hAnsi="仿宋_GB2312" w:eastAsia="仿宋_GB2312" w:cs="仿宋_GB2312"/>
                <w:sz w:val="24"/>
              </w:rPr>
              <w:t>·a）</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低于《民用建筑能耗标准》GB/T</w:t>
            </w:r>
            <w:r>
              <w:rPr>
                <w:rFonts w:ascii="仿宋_GB2312" w:hAnsi="仿宋_GB2312" w:eastAsia="仿宋_GB2312" w:cs="仿宋_GB2312"/>
                <w:sz w:val="24"/>
              </w:rPr>
              <w:t xml:space="preserve"> </w:t>
            </w:r>
            <w:r>
              <w:rPr>
                <w:rFonts w:hint="eastAsia" w:ascii="仿宋_GB2312" w:hAnsi="仿宋_GB2312" w:eastAsia="仿宋_GB2312" w:cs="仿宋_GB2312"/>
                <w:sz w:val="24"/>
              </w:rPr>
              <w:t>51161-2016引导值</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交通</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企业自有新能源汽车占比</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废弃物</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一般工业固体废物综合利用率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≥92</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工业用水重复利用率</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≥92</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碳抵消</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购买中国核证自愿减排量（CCER）、深圳碳普惠制核证减排量占碳排放量的比例</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管理</w:t>
            </w: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碳排放管理体系</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建立</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低碳宣传教育活动</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对外组织相关低碳培训、承办相关低碳活动，每年次数≥2次</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碳披露</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编制企业可持续发展报告，每年定期向社会公布企业能源、碳排放、污染物排放等情况</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核心指标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pPr>
              <w:snapToGrid w:val="0"/>
              <w:jc w:val="center"/>
              <w:rPr>
                <w:rFonts w:hint="eastAsia" w:ascii="仿宋_GB2312" w:hAnsi="仿宋_GB2312" w:eastAsia="仿宋_GB2312" w:cs="仿宋_GB2312"/>
                <w:sz w:val="24"/>
              </w:rPr>
            </w:pPr>
          </w:p>
        </w:tc>
        <w:tc>
          <w:tcPr>
            <w:tcW w:w="2515"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员工碳排放管理</w:t>
            </w:r>
          </w:p>
        </w:tc>
        <w:tc>
          <w:tcPr>
            <w:tcW w:w="1170"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694" w:type="dxa"/>
            <w:shd w:val="clear" w:color="auto" w:fill="auto"/>
            <w:vAlign w:val="center"/>
          </w:tcPr>
          <w:p>
            <w:pPr>
              <w:snapToGrid w:val="0"/>
              <w:jc w:val="center"/>
              <w:rPr>
                <w:rFonts w:hint="eastAsia" w:ascii="仿宋_GB2312" w:hAnsi="仿宋_GB2312" w:eastAsia="仿宋_GB2312" w:cs="仿宋_GB2312"/>
                <w:b/>
                <w:color w:val="FF0000"/>
                <w:sz w:val="24"/>
              </w:rPr>
            </w:pPr>
            <w:r>
              <w:rPr>
                <w:rFonts w:hint="eastAsia" w:ascii="仿宋_GB2312" w:hAnsi="仿宋_GB2312" w:eastAsia="仿宋_GB2312" w:cs="仿宋_GB2312"/>
                <w:sz w:val="24"/>
              </w:rPr>
              <w:t>空调温度不低于26℃；无纸化办公；人走灯关、电脑关、水龙头关</w:t>
            </w:r>
          </w:p>
        </w:tc>
        <w:tc>
          <w:tcPr>
            <w:tcW w:w="1184" w:type="dxa"/>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一般指标</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22" w:type="dxa"/>
            <w:gridSpan w:val="5"/>
            <w:shd w:val="clear" w:color="auto" w:fill="auto"/>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184" w:type="dxa"/>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r>
    </w:tbl>
    <w:p>
      <w:pPr>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NmU5YTU2MzA3MTg2MmYzZTY2NmMyYmFlN2JhOTUifQ=="/>
  </w:docVars>
  <w:rsids>
    <w:rsidRoot w:val="5CFBB468"/>
    <w:rsid w:val="00003E75"/>
    <w:rsid w:val="0005767B"/>
    <w:rsid w:val="0009414F"/>
    <w:rsid w:val="00094ECD"/>
    <w:rsid w:val="00097683"/>
    <w:rsid w:val="000A0C28"/>
    <w:rsid w:val="000A54FB"/>
    <w:rsid w:val="000B5E13"/>
    <w:rsid w:val="00162D4A"/>
    <w:rsid w:val="00162FCD"/>
    <w:rsid w:val="001A3E19"/>
    <w:rsid w:val="001E6C61"/>
    <w:rsid w:val="002233B3"/>
    <w:rsid w:val="00247219"/>
    <w:rsid w:val="00260F93"/>
    <w:rsid w:val="002623D9"/>
    <w:rsid w:val="002655C7"/>
    <w:rsid w:val="00282EB1"/>
    <w:rsid w:val="002B3975"/>
    <w:rsid w:val="002D3AE8"/>
    <w:rsid w:val="002D7017"/>
    <w:rsid w:val="002F0E68"/>
    <w:rsid w:val="00323860"/>
    <w:rsid w:val="00324775"/>
    <w:rsid w:val="0034096E"/>
    <w:rsid w:val="00356500"/>
    <w:rsid w:val="003565C7"/>
    <w:rsid w:val="003E17C9"/>
    <w:rsid w:val="003F517E"/>
    <w:rsid w:val="004678D0"/>
    <w:rsid w:val="004C7441"/>
    <w:rsid w:val="00512148"/>
    <w:rsid w:val="00523CB4"/>
    <w:rsid w:val="00527543"/>
    <w:rsid w:val="00542A0D"/>
    <w:rsid w:val="00543C71"/>
    <w:rsid w:val="005744DF"/>
    <w:rsid w:val="005856D2"/>
    <w:rsid w:val="005979F5"/>
    <w:rsid w:val="005B4F82"/>
    <w:rsid w:val="005E2C21"/>
    <w:rsid w:val="005E68CD"/>
    <w:rsid w:val="00621F63"/>
    <w:rsid w:val="006307A8"/>
    <w:rsid w:val="0067023B"/>
    <w:rsid w:val="006D1A3E"/>
    <w:rsid w:val="0074341C"/>
    <w:rsid w:val="007A1746"/>
    <w:rsid w:val="00845C84"/>
    <w:rsid w:val="00863340"/>
    <w:rsid w:val="00874650"/>
    <w:rsid w:val="008B138D"/>
    <w:rsid w:val="008D52D0"/>
    <w:rsid w:val="008E1F11"/>
    <w:rsid w:val="008E71B3"/>
    <w:rsid w:val="008F72D8"/>
    <w:rsid w:val="0090113D"/>
    <w:rsid w:val="0090628B"/>
    <w:rsid w:val="0092228E"/>
    <w:rsid w:val="00935727"/>
    <w:rsid w:val="0095739B"/>
    <w:rsid w:val="00A005FD"/>
    <w:rsid w:val="00A6169D"/>
    <w:rsid w:val="00A67D18"/>
    <w:rsid w:val="00B31FDE"/>
    <w:rsid w:val="00B516BF"/>
    <w:rsid w:val="00B51933"/>
    <w:rsid w:val="00B54AAA"/>
    <w:rsid w:val="00B66564"/>
    <w:rsid w:val="00B9263D"/>
    <w:rsid w:val="00BA63D9"/>
    <w:rsid w:val="00BA7A08"/>
    <w:rsid w:val="00BF29FD"/>
    <w:rsid w:val="00C07D0C"/>
    <w:rsid w:val="00C16B42"/>
    <w:rsid w:val="00C67C76"/>
    <w:rsid w:val="00C72753"/>
    <w:rsid w:val="00C97637"/>
    <w:rsid w:val="00CC37D2"/>
    <w:rsid w:val="00D0021C"/>
    <w:rsid w:val="00DE5518"/>
    <w:rsid w:val="00E33AD2"/>
    <w:rsid w:val="00EC4311"/>
    <w:rsid w:val="00ED5204"/>
    <w:rsid w:val="00EF776E"/>
    <w:rsid w:val="00F239B6"/>
    <w:rsid w:val="00F35B14"/>
    <w:rsid w:val="00F470B1"/>
    <w:rsid w:val="00F53E06"/>
    <w:rsid w:val="00F82087"/>
    <w:rsid w:val="00F822F6"/>
    <w:rsid w:val="00F94226"/>
    <w:rsid w:val="00FF0BDF"/>
    <w:rsid w:val="00FF13D9"/>
    <w:rsid w:val="01121A1D"/>
    <w:rsid w:val="15123F30"/>
    <w:rsid w:val="18950E10"/>
    <w:rsid w:val="1CADECA9"/>
    <w:rsid w:val="1E8238B0"/>
    <w:rsid w:val="1F6B4D68"/>
    <w:rsid w:val="23FD51FE"/>
    <w:rsid w:val="2B6ED3C1"/>
    <w:rsid w:val="329D31C6"/>
    <w:rsid w:val="4FD8492D"/>
    <w:rsid w:val="517F71DA"/>
    <w:rsid w:val="55FB7ACF"/>
    <w:rsid w:val="5CFBB468"/>
    <w:rsid w:val="69801C11"/>
    <w:rsid w:val="69F67328"/>
    <w:rsid w:val="6D11337C"/>
    <w:rsid w:val="6E4E6CE6"/>
    <w:rsid w:val="6EBF0207"/>
    <w:rsid w:val="72AC509E"/>
    <w:rsid w:val="73006109"/>
    <w:rsid w:val="73D34E7D"/>
    <w:rsid w:val="7CEFD2E1"/>
    <w:rsid w:val="7DFB97CC"/>
    <w:rsid w:val="7DFF758C"/>
    <w:rsid w:val="7E7E4841"/>
    <w:rsid w:val="7E9B5510"/>
    <w:rsid w:val="7EAE0B2A"/>
    <w:rsid w:val="7EFF2467"/>
    <w:rsid w:val="7F7D564B"/>
    <w:rsid w:val="7FFFD49C"/>
    <w:rsid w:val="9DF729FA"/>
    <w:rsid w:val="9ECBC16A"/>
    <w:rsid w:val="BF771A64"/>
    <w:rsid w:val="BF7E7064"/>
    <w:rsid w:val="BFDE3DD6"/>
    <w:rsid w:val="BFEFD5B9"/>
    <w:rsid w:val="CA7E5CBE"/>
    <w:rsid w:val="CDBFE37E"/>
    <w:rsid w:val="CFFDCFD2"/>
    <w:rsid w:val="E3ED5021"/>
    <w:rsid w:val="F6AF74C5"/>
    <w:rsid w:val="F77F8037"/>
    <w:rsid w:val="F7FFEE5E"/>
    <w:rsid w:val="FAEE7A03"/>
    <w:rsid w:val="FBF78303"/>
    <w:rsid w:val="FBFF4E8D"/>
    <w:rsid w:val="FDA6779D"/>
    <w:rsid w:val="FEFF72AC"/>
    <w:rsid w:val="FF2D260C"/>
    <w:rsid w:val="FF9A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link w:val="15"/>
    <w:semiHidden/>
    <w:unhideWhenUsed/>
    <w:qFormat/>
    <w:uiPriority w:val="0"/>
    <w:pPr>
      <w:keepNext/>
      <w:keepLines/>
      <w:spacing w:before="260" w:after="260" w:line="415" w:lineRule="auto"/>
      <w:outlineLvl w:val="2"/>
    </w:pPr>
    <w:rPr>
      <w:rFonts w:hint="eastAsia" w:ascii="等线" w:hAnsi="等线" w:eastAsia="等线" w:cs="Times New Roman"/>
      <w:b/>
      <w:bCs/>
      <w:sz w:val="32"/>
      <w:szCs w:val="32"/>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10">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标题 3 字符"/>
    <w:basedOn w:val="11"/>
    <w:link w:val="3"/>
    <w:qFormat/>
    <w:uiPriority w:val="0"/>
    <w:rPr>
      <w:rFonts w:hint="eastAsia" w:ascii="等线" w:hAnsi="等线" w:eastAsia="等线" w:cs="等线"/>
      <w:b/>
      <w:bCs/>
      <w:kern w:val="2"/>
      <w:sz w:val="32"/>
      <w:szCs w:val="32"/>
      <w:lang w:val="en-US" w:eastAsia="zh-CN" w:bidi="ar"/>
    </w:rPr>
  </w:style>
  <w:style w:type="character" w:customStyle="1" w:styleId="16">
    <w:name w:val="标题 2 字符"/>
    <w:basedOn w:val="11"/>
    <w:link w:val="2"/>
    <w:qFormat/>
    <w:uiPriority w:val="0"/>
    <w:rPr>
      <w:rFonts w:hint="eastAsia" w:ascii="宋体" w:hAnsi="宋体" w:eastAsia="宋体" w:cs="宋体"/>
      <w:b/>
      <w:bCs/>
      <w:kern w:val="0"/>
      <w:sz w:val="36"/>
      <w:szCs w:val="36"/>
      <w:lang w:val="en-US" w:eastAsia="zh-CN" w:bidi="ar"/>
    </w:rPr>
  </w:style>
  <w:style w:type="character" w:customStyle="1" w:styleId="17">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8">
    <w:name w:val="页眉 字符"/>
    <w:basedOn w:val="11"/>
    <w:link w:val="6"/>
    <w:qFormat/>
    <w:uiPriority w:val="0"/>
    <w:rPr>
      <w:rFonts w:asciiTheme="minorHAnsi" w:hAnsiTheme="minorHAnsi" w:eastAsiaTheme="minorEastAsia" w:cstheme="minorBidi"/>
      <w:kern w:val="2"/>
      <w:sz w:val="18"/>
      <w:szCs w:val="18"/>
    </w:rPr>
  </w:style>
  <w:style w:type="character" w:customStyle="1" w:styleId="19">
    <w:name w:val="页脚 字符"/>
    <w:basedOn w:val="11"/>
    <w:link w:val="5"/>
    <w:qFormat/>
    <w:uiPriority w:val="0"/>
    <w:rPr>
      <w:rFonts w:asciiTheme="minorHAnsi" w:hAnsiTheme="minorHAnsi" w:eastAsiaTheme="minorEastAsia" w:cstheme="minorBidi"/>
      <w:kern w:val="2"/>
      <w:sz w:val="18"/>
      <w:szCs w:val="18"/>
    </w:rPr>
  </w:style>
  <w:style w:type="table" w:customStyle="1" w:styleId="20">
    <w:name w:val="网格型4"/>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IBRPC</Company>
  <Pages>10</Pages>
  <Words>6869</Words>
  <Characters>7388</Characters>
  <Lines>66</Lines>
  <Paragraphs>18</Paragraphs>
  <TotalTime>41</TotalTime>
  <ScaleCrop>false</ScaleCrop>
  <LinksUpToDate>false</LinksUpToDate>
  <CharactersWithSpaces>7572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2024-07-03T09:08:00Z</dcterms:created>
  <dc:creator>CastDown</dc:creator>
  <cp:lastModifiedBy>Zhangcheng</cp:lastModifiedBy>
  <cp:lastPrinted>2024-06-26T22:45:00Z</cp:lastPrinted>
  <dcterms:modified xsi:type="dcterms:W3CDTF">2025-03-03T18:04:39Z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3BD89EE86E004707967C17308917CDFA_13</vt:lpwstr>
  </property>
</Properties>
</file>