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eastAsia="zh-CN" w:bidi="ar"/>
        </w:rPr>
        <w:t>附件</w:t>
      </w:r>
      <w:r>
        <w:rPr>
          <w:rFonts w:hint="eastAsia" w:ascii="黑体" w:hAnsi="黑体" w:eastAsia="黑体" w:cs="黑体"/>
          <w:kern w:val="0"/>
          <w:sz w:val="32"/>
          <w:szCs w:val="32"/>
          <w:lang w:val="en-US" w:eastAsia="zh-CN" w:bidi="ar"/>
        </w:rPr>
        <w:t>8</w:t>
      </w:r>
    </w:p>
    <w:p>
      <w:pPr>
        <w:widowControl/>
        <w:jc w:val="left"/>
        <w:rPr>
          <w:rFonts w:hint="eastAsia" w:ascii="黑体" w:hAnsi="黑体" w:eastAsia="黑体" w:cs="黑体"/>
          <w:kern w:val="0"/>
          <w:sz w:val="32"/>
          <w:szCs w:val="32"/>
          <w:lang w:val="en-US" w:eastAsia="zh-CN" w:bidi="ar"/>
        </w:rPr>
      </w:pPr>
    </w:p>
    <w:p>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碳市场绿电核减申请</w:t>
      </w:r>
    </w:p>
    <w:p>
      <w:pPr>
        <w:spacing w:line="560" w:lineRule="exact"/>
        <w:ind w:firstLine="880" w:firstLineChars="200"/>
        <w:rPr>
          <w:rFonts w:hint="eastAsia" w:ascii="方正小标宋简体" w:hAnsi="方正小标宋简体" w:eastAsia="方正小标宋简体" w:cs="方正小标宋简体"/>
          <w:color w:val="auto"/>
          <w:sz w:val="44"/>
          <w:szCs w:val="44"/>
          <w:lang w:eastAsia="zh-CN"/>
        </w:rPr>
      </w:pPr>
    </w:p>
    <w:p>
      <w:p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一、适用对象</w:t>
      </w:r>
    </w:p>
    <w:p>
      <w:pPr>
        <w:spacing w:line="560" w:lineRule="exact"/>
        <w:ind w:firstLine="640" w:firstLineChars="200"/>
        <w:rPr>
          <w:rFonts w:ascii="仿宋_GB2312" w:hAnsi="仿宋_GB2312" w:eastAsia="仿宋_GB2312" w:cs="仿宋_GB2312"/>
          <w:kern w:val="0"/>
          <w:sz w:val="32"/>
          <w:szCs w:val="32"/>
        </w:rPr>
      </w:pPr>
      <w:bookmarkStart w:id="0" w:name="_Hlk167635748"/>
      <w:r>
        <w:rPr>
          <w:rFonts w:ascii="仿宋_GB2312" w:hAnsi="仿宋_GB2312" w:eastAsia="仿宋_GB2312" w:cs="仿宋_GB2312"/>
          <w:kern w:val="0"/>
          <w:sz w:val="32"/>
          <w:szCs w:val="32"/>
        </w:rPr>
        <w:t>2024</w:t>
      </w:r>
      <w:r>
        <w:rPr>
          <w:rFonts w:hint="eastAsia" w:ascii="仿宋_GB2312" w:hAnsi="仿宋_GB2312" w:eastAsia="仿宋_GB2312" w:cs="仿宋_GB2312"/>
          <w:kern w:val="0"/>
          <w:sz w:val="32"/>
          <w:szCs w:val="32"/>
        </w:rPr>
        <w:t>年度配额短缺的重点排放单位可使用当履约</w:t>
      </w:r>
      <w:r>
        <w:rPr>
          <w:rFonts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rPr>
        <w:t>内</w:t>
      </w:r>
      <w:r>
        <w:rPr>
          <w:rFonts w:ascii="仿宋_GB2312" w:hAnsi="仿宋_GB2312" w:eastAsia="仿宋_GB2312" w:cs="仿宋_GB2312"/>
          <w:kern w:val="0"/>
          <w:sz w:val="32"/>
          <w:szCs w:val="32"/>
        </w:rPr>
        <w:t>通过市场化手段购买</w:t>
      </w:r>
      <w:r>
        <w:rPr>
          <w:rFonts w:hint="eastAsia" w:ascii="仿宋_GB2312" w:hAnsi="仿宋_GB2312" w:eastAsia="仿宋_GB2312" w:cs="仿宋_GB2312"/>
          <w:kern w:val="0"/>
          <w:sz w:val="32"/>
          <w:szCs w:val="32"/>
        </w:rPr>
        <w:t>消费</w:t>
      </w:r>
      <w:r>
        <w:rPr>
          <w:rFonts w:ascii="仿宋_GB2312" w:hAnsi="仿宋_GB2312" w:eastAsia="仿宋_GB2312" w:cs="仿宋_GB2312"/>
          <w:kern w:val="0"/>
          <w:sz w:val="32"/>
          <w:szCs w:val="32"/>
        </w:rPr>
        <w:t>的绿电核减其超额碳排放量</w:t>
      </w:r>
      <w:bookmarkEnd w:id="0"/>
      <w:r>
        <w:rPr>
          <w:rFonts w:ascii="仿宋_GB2312" w:hAnsi="仿宋_GB2312" w:eastAsia="仿宋_GB2312" w:cs="仿宋_GB2312"/>
          <w:kern w:val="0"/>
          <w:sz w:val="32"/>
          <w:szCs w:val="32"/>
        </w:rPr>
        <w:t>。</w:t>
      </w:r>
    </w:p>
    <w:p>
      <w:p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二、适用范围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重点排放单位</w:t>
      </w:r>
      <w:r>
        <w:rPr>
          <w:rFonts w:hint="eastAsia" w:ascii="仿宋_GB2312" w:hAnsi="仿宋_GB2312" w:eastAsia="仿宋_GB2312" w:cs="仿宋_GB2312"/>
          <w:kern w:val="0"/>
          <w:sz w:val="32"/>
          <w:szCs w:val="32"/>
        </w:rPr>
        <w:t>通过广州电力交易中心以省内或省间交易方式购买的非深圳市内生产的可再生能源电量，且是2024履约年度内已经实际执行和结算的电量。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重点排放单位2024年度内购入和实际结算的绿电仅限于核减自身超额碳排放量，仅</w:t>
      </w:r>
      <w:r>
        <w:rPr>
          <w:rFonts w:hint="eastAsia" w:ascii="仿宋_GB2312" w:hAnsi="仿宋_GB2312" w:eastAsia="仿宋_GB2312" w:cs="仿宋_GB2312"/>
          <w:kern w:val="0"/>
          <w:sz w:val="32"/>
          <w:szCs w:val="32"/>
          <w:lang w:eastAsia="zh-CN"/>
        </w:rPr>
        <w:t>可</w:t>
      </w:r>
      <w:r>
        <w:rPr>
          <w:rFonts w:hint="eastAsia" w:ascii="仿宋_GB2312" w:hAnsi="仿宋_GB2312" w:eastAsia="仿宋_GB2312" w:cs="仿宋_GB2312"/>
          <w:kern w:val="0"/>
          <w:sz w:val="32"/>
          <w:szCs w:val="32"/>
        </w:rPr>
        <w:t>使用一次，</w:t>
      </w:r>
      <w:r>
        <w:rPr>
          <w:rFonts w:hint="eastAsia" w:ascii="仿宋_GB2312" w:hAnsi="仿宋_GB2312" w:eastAsia="仿宋_GB2312" w:cs="仿宋_GB2312"/>
          <w:kern w:val="0"/>
          <w:sz w:val="32"/>
          <w:szCs w:val="32"/>
          <w:lang w:eastAsia="zh-CN"/>
        </w:rPr>
        <w:t>且</w:t>
      </w:r>
      <w:r>
        <w:rPr>
          <w:rFonts w:hint="eastAsia" w:ascii="仿宋_GB2312" w:hAnsi="仿宋_GB2312" w:eastAsia="仿宋_GB2312" w:cs="仿宋_GB2312"/>
          <w:kern w:val="0"/>
          <w:sz w:val="32"/>
          <w:szCs w:val="32"/>
        </w:rPr>
        <w:t>不可转让</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也不可结转至</w:t>
      </w:r>
      <w:r>
        <w:rPr>
          <w:rFonts w:hint="eastAsia" w:ascii="仿宋_GB2312" w:hAnsi="仿宋_GB2312" w:eastAsia="仿宋_GB2312" w:cs="仿宋_GB2312"/>
          <w:kern w:val="0"/>
          <w:sz w:val="32"/>
          <w:szCs w:val="32"/>
          <w:lang w:eastAsia="zh-CN"/>
        </w:rPr>
        <w:t>下一</w:t>
      </w:r>
      <w:r>
        <w:rPr>
          <w:rFonts w:hint="eastAsia" w:ascii="仿宋_GB2312" w:hAnsi="仿宋_GB2312" w:eastAsia="仿宋_GB2312" w:cs="仿宋_GB2312"/>
          <w:kern w:val="0"/>
          <w:sz w:val="32"/>
          <w:szCs w:val="32"/>
        </w:rPr>
        <w:t>年度使用。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三、凭证形式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重点排放单位申请使用绿电核减其超额碳排放量</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，需向</w:t>
      </w:r>
      <w:r>
        <w:rPr>
          <w:rFonts w:hint="eastAsia" w:ascii="仿宋_GB2312" w:hAnsi="仿宋_GB2312" w:eastAsia="仿宋_GB2312" w:cs="仿宋_GB2312"/>
          <w:kern w:val="0"/>
          <w:sz w:val="32"/>
          <w:szCs w:val="32"/>
          <w:lang w:eastAsia="zh-CN"/>
        </w:rPr>
        <w:t>市生态环境局</w:t>
      </w:r>
      <w:r>
        <w:rPr>
          <w:rFonts w:hint="eastAsia" w:ascii="仿宋_GB2312" w:hAnsi="仿宋_GB2312" w:eastAsia="仿宋_GB2312" w:cs="仿宋_GB2312"/>
          <w:kern w:val="0"/>
          <w:sz w:val="32"/>
          <w:szCs w:val="32"/>
        </w:rPr>
        <w:t>申请并提交绿电交易合同、绿电交易结算凭证、绿色电力消费凭证</w:t>
      </w:r>
      <w:r>
        <w:rPr>
          <w:rFonts w:hint="eastAsia" w:ascii="仿宋_GB2312" w:hAnsi="仿宋_GB2312" w:eastAsia="仿宋_GB2312" w:cs="仿宋_GB2312"/>
          <w:kern w:val="0"/>
          <w:sz w:val="32"/>
          <w:szCs w:val="32"/>
          <w:lang w:eastAsia="zh-CN"/>
        </w:rPr>
        <w:t>等材料</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四、申请方式</w:t>
      </w:r>
    </w:p>
    <w:p>
      <w:pPr>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满足条件的重点排放单位应在2025年6月30日前提交申请表，并</w:t>
      </w:r>
      <w:r>
        <w:rPr>
          <w:rFonts w:hint="eastAsia" w:ascii="仿宋_GB2312" w:hAnsi="仿宋_GB2312" w:eastAsia="仿宋_GB2312" w:cs="仿宋_GB2312"/>
          <w:color w:val="auto"/>
          <w:kern w:val="0"/>
          <w:sz w:val="32"/>
          <w:szCs w:val="32"/>
          <w:lang w:eastAsia="zh-CN"/>
        </w:rPr>
        <w:t>按</w:t>
      </w:r>
      <w:r>
        <w:rPr>
          <w:rFonts w:hint="eastAsia" w:ascii="仿宋_GB2312" w:hAnsi="仿宋_GB2312" w:eastAsia="仿宋_GB2312" w:cs="仿宋_GB2312"/>
          <w:color w:val="auto"/>
          <w:kern w:val="0"/>
          <w:sz w:val="32"/>
          <w:szCs w:val="32"/>
        </w:rPr>
        <w:t>要求提供相应</w:t>
      </w:r>
      <w:r>
        <w:rPr>
          <w:rFonts w:hint="eastAsia" w:ascii="仿宋_GB2312" w:hAnsi="仿宋_GB2312" w:eastAsia="仿宋_GB2312" w:cs="仿宋_GB2312"/>
          <w:color w:val="auto"/>
          <w:kern w:val="0"/>
          <w:sz w:val="32"/>
          <w:szCs w:val="32"/>
          <w:lang w:eastAsia="zh-CN"/>
        </w:rPr>
        <w:t>佐证</w:t>
      </w:r>
      <w:r>
        <w:rPr>
          <w:rFonts w:hint="eastAsia" w:ascii="仿宋_GB2312" w:hAnsi="仿宋_GB2312" w:eastAsia="仿宋_GB2312" w:cs="仿宋_GB2312"/>
          <w:color w:val="auto"/>
          <w:kern w:val="0"/>
          <w:sz w:val="32"/>
          <w:szCs w:val="32"/>
        </w:rPr>
        <w:t>材料。</w:t>
      </w:r>
    </w:p>
    <w:p>
      <w:pPr>
        <w:spacing w:line="560" w:lineRule="exact"/>
        <w:ind w:firstLine="640" w:firstLineChars="200"/>
        <w:rPr>
          <w:rFonts w:hint="eastAsia" w:ascii="仿宋_GB2312" w:hAnsi="仿宋_GB2312" w:eastAsia="仿宋_GB2312" w:cs="仿宋_GB2312"/>
          <w:color w:val="auto"/>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adjustRightInd w:val="0"/>
        <w:snapToGrid w:val="0"/>
        <w:spacing w:line="360" w:lineRule="auto"/>
        <w:rPr>
          <w:rFonts w:hint="eastAsia" w:ascii="仿宋_GB2312" w:hAnsi="仿宋_GB2312" w:eastAsia="仿宋_GB2312" w:cs="仿宋_GB2312"/>
          <w:kern w:val="0"/>
          <w:sz w:val="32"/>
          <w:szCs w:val="32"/>
        </w:rPr>
      </w:pPr>
    </w:p>
    <w:p>
      <w:pPr>
        <w:adjustRightInd w:val="0"/>
        <w:snapToGrid w:val="0"/>
        <w:spacing w:line="360" w:lineRule="auto"/>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2024年度绿电核减</w:t>
      </w:r>
      <w:bookmarkStart w:id="1" w:name="_GoBack"/>
      <w:bookmarkEnd w:id="1"/>
      <w:r>
        <w:rPr>
          <w:rFonts w:hint="eastAsia" w:ascii="方正小标宋简体" w:hAnsi="方正小标宋简体" w:eastAsia="方正小标宋简体" w:cs="方正小标宋简体"/>
          <w:b w:val="0"/>
          <w:bCs w:val="0"/>
          <w:sz w:val="40"/>
          <w:szCs w:val="40"/>
        </w:rPr>
        <w:t>申请表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463"/>
        <w:gridCol w:w="1196"/>
        <w:gridCol w:w="646"/>
        <w:gridCol w:w="184"/>
        <w:gridCol w:w="829"/>
        <w:gridCol w:w="1397"/>
        <w:gridCol w:w="262"/>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6" w:type="dxa"/>
            <w:gridSpan w:val="9"/>
            <w:vAlign w:val="center"/>
          </w:tcPr>
          <w:p>
            <w:pPr>
              <w:adjustRightInd w:val="0"/>
              <w:snapToGrid w:val="0"/>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2" w:type="dxa"/>
            <w:gridSpan w:val="2"/>
            <w:vAlign w:val="center"/>
          </w:tcPr>
          <w:p>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单位名称</w:t>
            </w:r>
          </w:p>
        </w:tc>
        <w:tc>
          <w:tcPr>
            <w:tcW w:w="2026" w:type="dxa"/>
            <w:gridSpan w:val="3"/>
            <w:vAlign w:val="center"/>
          </w:tcPr>
          <w:p>
            <w:pPr>
              <w:adjustRightInd w:val="0"/>
              <w:snapToGrid w:val="0"/>
              <w:rPr>
                <w:rFonts w:hint="eastAsia" w:ascii="仿宋_GB2312" w:hAnsi="仿宋_GB2312" w:eastAsia="仿宋_GB2312" w:cs="仿宋_GB2312"/>
                <w:kern w:val="0"/>
                <w:sz w:val="24"/>
                <w:szCs w:val="24"/>
              </w:rPr>
            </w:pPr>
          </w:p>
        </w:tc>
        <w:tc>
          <w:tcPr>
            <w:tcW w:w="2226" w:type="dxa"/>
            <w:gridSpan w:val="2"/>
            <w:vAlign w:val="center"/>
          </w:tcPr>
          <w:p>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统一社会信用代码</w:t>
            </w:r>
          </w:p>
        </w:tc>
        <w:tc>
          <w:tcPr>
            <w:tcW w:w="1922" w:type="dxa"/>
            <w:gridSpan w:val="2"/>
            <w:vAlign w:val="center"/>
          </w:tcPr>
          <w:p>
            <w:pPr>
              <w:adjustRightInd w:val="0"/>
              <w:snapToGrid w:val="0"/>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2" w:type="dxa"/>
            <w:gridSpan w:val="2"/>
            <w:vAlign w:val="center"/>
          </w:tcPr>
          <w:p>
            <w:pPr>
              <w:adjustRightInd w:val="0"/>
              <w:snapToGrid w:val="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4"/>
                <w:szCs w:val="24"/>
              </w:rPr>
              <w:t>所属行业</w:t>
            </w:r>
          </w:p>
        </w:tc>
        <w:tc>
          <w:tcPr>
            <w:tcW w:w="2026" w:type="dxa"/>
            <w:gridSpan w:val="3"/>
            <w:vAlign w:val="center"/>
          </w:tcPr>
          <w:p>
            <w:pPr>
              <w:adjustRightInd w:val="0"/>
              <w:snapToGrid w:val="0"/>
              <w:rPr>
                <w:rFonts w:hint="eastAsia" w:ascii="仿宋_GB2312" w:hAnsi="仿宋_GB2312" w:eastAsia="仿宋_GB2312" w:cs="仿宋_GB2312"/>
                <w:kern w:val="0"/>
                <w:sz w:val="28"/>
                <w:szCs w:val="28"/>
              </w:rPr>
            </w:pPr>
          </w:p>
        </w:tc>
        <w:tc>
          <w:tcPr>
            <w:tcW w:w="2226" w:type="dxa"/>
            <w:gridSpan w:val="2"/>
            <w:vAlign w:val="center"/>
          </w:tcPr>
          <w:p>
            <w:pPr>
              <w:adjustRightInd w:val="0"/>
              <w:snapToGrid w:val="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4"/>
                <w:szCs w:val="24"/>
              </w:rPr>
              <w:t>行业国民经济代码</w:t>
            </w:r>
          </w:p>
        </w:tc>
        <w:tc>
          <w:tcPr>
            <w:tcW w:w="1922" w:type="dxa"/>
            <w:gridSpan w:val="2"/>
            <w:vAlign w:val="center"/>
          </w:tcPr>
          <w:p>
            <w:pPr>
              <w:adjustRightInd w:val="0"/>
              <w:snapToGrid w:val="0"/>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2" w:type="dxa"/>
            <w:gridSpan w:val="2"/>
            <w:vAlign w:val="center"/>
          </w:tcPr>
          <w:p>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联系人姓名</w:t>
            </w:r>
          </w:p>
        </w:tc>
        <w:tc>
          <w:tcPr>
            <w:tcW w:w="2026" w:type="dxa"/>
            <w:gridSpan w:val="3"/>
            <w:vAlign w:val="center"/>
          </w:tcPr>
          <w:p>
            <w:pPr>
              <w:adjustRightInd w:val="0"/>
              <w:snapToGrid w:val="0"/>
              <w:rPr>
                <w:rFonts w:hint="eastAsia" w:ascii="仿宋_GB2312" w:hAnsi="仿宋_GB2312" w:eastAsia="仿宋_GB2312" w:cs="仿宋_GB2312"/>
                <w:kern w:val="0"/>
                <w:sz w:val="24"/>
                <w:szCs w:val="24"/>
              </w:rPr>
            </w:pPr>
          </w:p>
        </w:tc>
        <w:tc>
          <w:tcPr>
            <w:tcW w:w="2226" w:type="dxa"/>
            <w:gridSpan w:val="2"/>
            <w:vAlign w:val="center"/>
          </w:tcPr>
          <w:p>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1922" w:type="dxa"/>
            <w:gridSpan w:val="2"/>
            <w:vAlign w:val="center"/>
          </w:tcPr>
          <w:p>
            <w:pPr>
              <w:adjustRightInd w:val="0"/>
              <w:snapToGrid w:val="0"/>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6" w:type="dxa"/>
            <w:gridSpan w:val="9"/>
            <w:vAlign w:val="center"/>
          </w:tcPr>
          <w:p>
            <w:pPr>
              <w:adjustRightInd w:val="0"/>
              <w:snapToGrid w:val="0"/>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8"/>
                <w:szCs w:val="28"/>
              </w:rPr>
              <w:t>二、电力消费信息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4" w:type="dxa"/>
            <w:gridSpan w:val="4"/>
            <w:vAlign w:val="center"/>
          </w:tcPr>
          <w:p>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2024年净购入电量</w:t>
            </w:r>
          </w:p>
        </w:tc>
        <w:tc>
          <w:tcPr>
            <w:tcW w:w="4332" w:type="dxa"/>
            <w:gridSpan w:val="5"/>
            <w:vAlign w:val="center"/>
          </w:tcPr>
          <w:p>
            <w:pPr>
              <w:adjustRightInd w:val="0"/>
              <w:snapToGrid w:val="0"/>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4" w:type="dxa"/>
            <w:gridSpan w:val="4"/>
            <w:vAlign w:val="center"/>
          </w:tcPr>
          <w:p>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2024年自发自用可再生能源电量</w:t>
            </w:r>
          </w:p>
        </w:tc>
        <w:tc>
          <w:tcPr>
            <w:tcW w:w="4332" w:type="dxa"/>
            <w:gridSpan w:val="5"/>
            <w:vAlign w:val="center"/>
          </w:tcPr>
          <w:p>
            <w:pPr>
              <w:adjustRightInd w:val="0"/>
              <w:snapToGrid w:val="0"/>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4" w:type="dxa"/>
            <w:gridSpan w:val="4"/>
            <w:vAlign w:val="center"/>
          </w:tcPr>
          <w:p>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2024年购入并实际使用绿电数量</w:t>
            </w:r>
          </w:p>
        </w:tc>
        <w:tc>
          <w:tcPr>
            <w:tcW w:w="4332" w:type="dxa"/>
            <w:gridSpan w:val="5"/>
            <w:vAlign w:val="center"/>
          </w:tcPr>
          <w:p>
            <w:pPr>
              <w:adjustRightInd w:val="0"/>
              <w:snapToGrid w:val="0"/>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4" w:type="dxa"/>
            <w:gridSpan w:val="4"/>
            <w:vAlign w:val="center"/>
          </w:tcPr>
          <w:p>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2024年扣除绿电后净购入电量</w:t>
            </w:r>
          </w:p>
        </w:tc>
        <w:tc>
          <w:tcPr>
            <w:tcW w:w="4332" w:type="dxa"/>
            <w:gridSpan w:val="5"/>
            <w:vAlign w:val="center"/>
          </w:tcPr>
          <w:p>
            <w:pPr>
              <w:adjustRightInd w:val="0"/>
              <w:snapToGrid w:val="0"/>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6" w:type="dxa"/>
            <w:gridSpan w:val="9"/>
            <w:vAlign w:val="center"/>
          </w:tcPr>
          <w:p>
            <w:pPr>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三、绿电交易和消费信息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6" w:type="dxa"/>
            <w:gridSpan w:val="9"/>
            <w:vAlign w:val="center"/>
          </w:tcPr>
          <w:p>
            <w:pPr>
              <w:adjustRightInd w:val="0"/>
              <w:snapToGrid w:val="0"/>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4"/>
                <w:szCs w:val="24"/>
              </w:rPr>
              <w:t>（1）绿电交易信息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4" w:type="dxa"/>
            <w:gridSpan w:val="4"/>
            <w:vMerge w:val="restart"/>
            <w:vAlign w:val="center"/>
          </w:tcPr>
          <w:p>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2024年购入绿电实际结算电量</w:t>
            </w:r>
          </w:p>
        </w:tc>
        <w:tc>
          <w:tcPr>
            <w:tcW w:w="4332" w:type="dxa"/>
            <w:gridSpan w:val="5"/>
            <w:vAlign w:val="center"/>
          </w:tcPr>
          <w:p>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4" w:type="dxa"/>
            <w:gridSpan w:val="4"/>
            <w:vMerge w:val="continue"/>
            <w:vAlign w:val="center"/>
          </w:tcPr>
          <w:p>
            <w:pPr>
              <w:adjustRightInd w:val="0"/>
              <w:snapToGrid w:val="0"/>
              <w:rPr>
                <w:rFonts w:hint="eastAsia" w:ascii="仿宋_GB2312" w:hAnsi="仿宋_GB2312" w:eastAsia="仿宋_GB2312" w:cs="仿宋_GB2312"/>
                <w:kern w:val="0"/>
                <w:sz w:val="24"/>
                <w:szCs w:val="24"/>
              </w:rPr>
            </w:pPr>
          </w:p>
        </w:tc>
        <w:tc>
          <w:tcPr>
            <w:tcW w:w="4332" w:type="dxa"/>
            <w:gridSpan w:val="5"/>
            <w:vAlign w:val="center"/>
          </w:tcPr>
          <w:p>
            <w:pPr>
              <w:adjustRightInd w:val="0"/>
              <w:snapToGrid w:val="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4"/>
                <w:szCs w:val="24"/>
              </w:rPr>
              <w:t>省</w:t>
            </w:r>
            <w:r>
              <w:rPr>
                <w:rFonts w:hint="eastAsia" w:ascii="仿宋_GB2312" w:hAnsi="仿宋_GB2312" w:eastAsia="仿宋_GB2312" w:cs="仿宋_GB2312"/>
                <w:kern w:val="0"/>
                <w:sz w:val="24"/>
                <w:szCs w:val="24"/>
                <w:lang w:eastAsia="zh-CN"/>
              </w:rPr>
              <w:t>间</w:t>
            </w:r>
            <w:r>
              <w:rPr>
                <w:rFonts w:hint="eastAsia" w:ascii="仿宋_GB2312" w:hAnsi="仿宋_GB2312" w:eastAsia="仿宋_GB2312" w:cs="仿宋_GB2312"/>
                <w:kern w:val="0"/>
                <w:sz w:val="24"/>
                <w:szCs w:val="24"/>
                <w:vertAlign w:val="superscrip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4" w:type="dxa"/>
            <w:gridSpan w:val="4"/>
            <w:vMerge w:val="continue"/>
            <w:vAlign w:val="center"/>
          </w:tcPr>
          <w:p>
            <w:pPr>
              <w:adjustRightInd w:val="0"/>
              <w:snapToGrid w:val="0"/>
              <w:rPr>
                <w:rFonts w:hint="eastAsia" w:ascii="仿宋_GB2312" w:hAnsi="仿宋_GB2312" w:eastAsia="仿宋_GB2312" w:cs="仿宋_GB2312"/>
                <w:kern w:val="0"/>
                <w:sz w:val="24"/>
                <w:szCs w:val="24"/>
              </w:rPr>
            </w:pPr>
          </w:p>
        </w:tc>
        <w:tc>
          <w:tcPr>
            <w:tcW w:w="4332" w:type="dxa"/>
            <w:gridSpan w:val="5"/>
            <w:vAlign w:val="center"/>
          </w:tcPr>
          <w:p>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4" w:type="dxa"/>
            <w:gridSpan w:val="4"/>
            <w:vMerge w:val="restart"/>
            <w:vAlign w:val="center"/>
          </w:tcPr>
          <w:p>
            <w:pPr>
              <w:adjustRightInd w:val="0"/>
              <w:snapToGrid w:val="0"/>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kern w:val="0"/>
                <w:sz w:val="24"/>
                <w:szCs w:val="24"/>
              </w:rPr>
              <w:t>2024年购入绿电环境溢价总额</w:t>
            </w:r>
            <w:r>
              <w:rPr>
                <w:rFonts w:hint="eastAsia" w:ascii="仿宋_GB2312" w:hAnsi="仿宋_GB2312" w:eastAsia="仿宋_GB2312" w:cs="仿宋_GB2312"/>
                <w:kern w:val="0"/>
                <w:sz w:val="24"/>
                <w:szCs w:val="24"/>
                <w:vertAlign w:val="superscript"/>
                <w:lang w:val="en-US" w:eastAsia="zh-CN"/>
              </w:rPr>
              <w:t>2</w:t>
            </w:r>
          </w:p>
        </w:tc>
        <w:tc>
          <w:tcPr>
            <w:tcW w:w="4332" w:type="dxa"/>
            <w:gridSpan w:val="5"/>
            <w:vAlign w:val="center"/>
          </w:tcPr>
          <w:p>
            <w:pPr>
              <w:adjustRightInd w:val="0"/>
              <w:snapToGrid w:val="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4"/>
                <w:szCs w:val="24"/>
              </w:rPr>
              <w:t>省内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4" w:type="dxa"/>
            <w:gridSpan w:val="4"/>
            <w:vMerge w:val="continue"/>
            <w:vAlign w:val="center"/>
          </w:tcPr>
          <w:p>
            <w:pPr>
              <w:adjustRightInd w:val="0"/>
              <w:snapToGrid w:val="0"/>
              <w:rPr>
                <w:rFonts w:hint="eastAsia" w:ascii="仿宋_GB2312" w:hAnsi="仿宋_GB2312" w:eastAsia="仿宋_GB2312" w:cs="仿宋_GB2312"/>
                <w:kern w:val="0"/>
                <w:sz w:val="24"/>
                <w:szCs w:val="24"/>
              </w:rPr>
            </w:pPr>
          </w:p>
        </w:tc>
        <w:tc>
          <w:tcPr>
            <w:tcW w:w="4332" w:type="dxa"/>
            <w:gridSpan w:val="5"/>
            <w:vAlign w:val="center"/>
          </w:tcPr>
          <w:p>
            <w:pPr>
              <w:adjustRightInd w:val="0"/>
              <w:snapToGrid w:val="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4"/>
                <w:szCs w:val="24"/>
              </w:rPr>
              <w:t>省</w:t>
            </w:r>
            <w:r>
              <w:rPr>
                <w:rFonts w:hint="eastAsia" w:ascii="仿宋_GB2312" w:hAnsi="仿宋_GB2312" w:eastAsia="仿宋_GB2312" w:cs="仿宋_GB2312"/>
                <w:kern w:val="0"/>
                <w:sz w:val="24"/>
                <w:szCs w:val="24"/>
                <w:lang w:eastAsia="zh-CN"/>
              </w:rPr>
              <w:t>间</w:t>
            </w:r>
            <w:r>
              <w:rPr>
                <w:rFonts w:hint="eastAsia" w:ascii="仿宋_GB2312" w:hAnsi="仿宋_GB2312" w:eastAsia="仿宋_GB2312" w:cs="仿宋_GB2312"/>
                <w:kern w:val="0"/>
                <w:sz w:val="24"/>
                <w:szCs w:val="24"/>
                <w:vertAlign w:val="superscrip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4" w:type="dxa"/>
            <w:gridSpan w:val="4"/>
            <w:vMerge w:val="continue"/>
            <w:vAlign w:val="center"/>
          </w:tcPr>
          <w:p>
            <w:pPr>
              <w:adjustRightInd w:val="0"/>
              <w:snapToGrid w:val="0"/>
              <w:rPr>
                <w:rFonts w:hint="eastAsia" w:ascii="仿宋_GB2312" w:hAnsi="仿宋_GB2312" w:eastAsia="仿宋_GB2312" w:cs="仿宋_GB2312"/>
                <w:kern w:val="0"/>
                <w:sz w:val="24"/>
                <w:szCs w:val="24"/>
              </w:rPr>
            </w:pPr>
          </w:p>
        </w:tc>
        <w:tc>
          <w:tcPr>
            <w:tcW w:w="4332" w:type="dxa"/>
            <w:gridSpan w:val="5"/>
            <w:vAlign w:val="center"/>
          </w:tcPr>
          <w:p>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6" w:type="dxa"/>
            <w:gridSpan w:val="9"/>
            <w:vAlign w:val="center"/>
          </w:tcPr>
          <w:p>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（2）绿色电力消费凭证信息（可自行添加行）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证书编号</w:t>
            </w:r>
          </w:p>
        </w:tc>
        <w:tc>
          <w:tcPr>
            <w:tcW w:w="1659" w:type="dxa"/>
            <w:gridSpan w:val="2"/>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消纳周期</w:t>
            </w:r>
          </w:p>
        </w:tc>
        <w:tc>
          <w:tcPr>
            <w:tcW w:w="1659" w:type="dxa"/>
            <w:gridSpan w:val="3"/>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消纳电量</w:t>
            </w:r>
          </w:p>
        </w:tc>
        <w:tc>
          <w:tcPr>
            <w:tcW w:w="1659" w:type="dxa"/>
            <w:gridSpan w:val="2"/>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电量类型</w:t>
            </w:r>
          </w:p>
        </w:tc>
        <w:tc>
          <w:tcPr>
            <w:tcW w:w="1660" w:type="dxa"/>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供电方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vAlign w:val="center"/>
          </w:tcPr>
          <w:p>
            <w:pPr>
              <w:adjustRightInd w:val="0"/>
              <w:snapToGrid w:val="0"/>
              <w:jc w:val="center"/>
              <w:rPr>
                <w:rFonts w:hint="eastAsia" w:ascii="仿宋_GB2312" w:hAnsi="仿宋_GB2312" w:eastAsia="仿宋_GB2312" w:cs="仿宋_GB2312"/>
                <w:kern w:val="0"/>
                <w:sz w:val="24"/>
                <w:szCs w:val="24"/>
              </w:rPr>
            </w:pPr>
          </w:p>
        </w:tc>
        <w:tc>
          <w:tcPr>
            <w:tcW w:w="1659" w:type="dxa"/>
            <w:gridSpan w:val="2"/>
            <w:vAlign w:val="center"/>
          </w:tcPr>
          <w:p>
            <w:pPr>
              <w:adjustRightInd w:val="0"/>
              <w:snapToGrid w:val="0"/>
              <w:jc w:val="center"/>
              <w:rPr>
                <w:rFonts w:hint="eastAsia" w:ascii="仿宋_GB2312" w:hAnsi="仿宋_GB2312" w:eastAsia="仿宋_GB2312" w:cs="仿宋_GB2312"/>
                <w:kern w:val="0"/>
                <w:sz w:val="24"/>
                <w:szCs w:val="24"/>
              </w:rPr>
            </w:pPr>
          </w:p>
        </w:tc>
        <w:tc>
          <w:tcPr>
            <w:tcW w:w="1659" w:type="dxa"/>
            <w:gridSpan w:val="3"/>
            <w:vAlign w:val="center"/>
          </w:tcPr>
          <w:p>
            <w:pPr>
              <w:adjustRightInd w:val="0"/>
              <w:snapToGrid w:val="0"/>
              <w:jc w:val="center"/>
              <w:rPr>
                <w:rFonts w:hint="eastAsia" w:ascii="仿宋_GB2312" w:hAnsi="仿宋_GB2312" w:eastAsia="仿宋_GB2312" w:cs="仿宋_GB2312"/>
                <w:kern w:val="0"/>
                <w:sz w:val="24"/>
                <w:szCs w:val="24"/>
              </w:rPr>
            </w:pPr>
          </w:p>
        </w:tc>
        <w:tc>
          <w:tcPr>
            <w:tcW w:w="1659" w:type="dxa"/>
            <w:gridSpan w:val="2"/>
            <w:vAlign w:val="center"/>
          </w:tcPr>
          <w:p>
            <w:pPr>
              <w:adjustRightInd w:val="0"/>
              <w:snapToGrid w:val="0"/>
              <w:jc w:val="center"/>
              <w:rPr>
                <w:rFonts w:hint="eastAsia" w:ascii="仿宋_GB2312" w:hAnsi="仿宋_GB2312" w:eastAsia="仿宋_GB2312" w:cs="仿宋_GB2312"/>
                <w:kern w:val="0"/>
                <w:sz w:val="24"/>
                <w:szCs w:val="24"/>
              </w:rPr>
            </w:pPr>
          </w:p>
        </w:tc>
        <w:tc>
          <w:tcPr>
            <w:tcW w:w="1660" w:type="dxa"/>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vAlign w:val="center"/>
          </w:tcPr>
          <w:p>
            <w:pPr>
              <w:adjustRightInd w:val="0"/>
              <w:snapToGrid w:val="0"/>
              <w:jc w:val="center"/>
              <w:rPr>
                <w:rFonts w:hint="eastAsia" w:ascii="仿宋_GB2312" w:hAnsi="仿宋_GB2312" w:eastAsia="仿宋_GB2312" w:cs="仿宋_GB2312"/>
                <w:kern w:val="0"/>
                <w:sz w:val="24"/>
                <w:szCs w:val="24"/>
              </w:rPr>
            </w:pPr>
          </w:p>
        </w:tc>
        <w:tc>
          <w:tcPr>
            <w:tcW w:w="1659" w:type="dxa"/>
            <w:gridSpan w:val="2"/>
            <w:vAlign w:val="center"/>
          </w:tcPr>
          <w:p>
            <w:pPr>
              <w:adjustRightInd w:val="0"/>
              <w:snapToGrid w:val="0"/>
              <w:jc w:val="center"/>
              <w:rPr>
                <w:rFonts w:hint="eastAsia" w:ascii="仿宋_GB2312" w:hAnsi="仿宋_GB2312" w:eastAsia="仿宋_GB2312" w:cs="仿宋_GB2312"/>
                <w:kern w:val="0"/>
                <w:sz w:val="24"/>
                <w:szCs w:val="24"/>
              </w:rPr>
            </w:pPr>
          </w:p>
        </w:tc>
        <w:tc>
          <w:tcPr>
            <w:tcW w:w="1659" w:type="dxa"/>
            <w:gridSpan w:val="3"/>
            <w:vAlign w:val="center"/>
          </w:tcPr>
          <w:p>
            <w:pPr>
              <w:adjustRightInd w:val="0"/>
              <w:snapToGrid w:val="0"/>
              <w:jc w:val="center"/>
              <w:rPr>
                <w:rFonts w:hint="eastAsia" w:ascii="仿宋_GB2312" w:hAnsi="仿宋_GB2312" w:eastAsia="仿宋_GB2312" w:cs="仿宋_GB2312"/>
                <w:kern w:val="0"/>
                <w:sz w:val="24"/>
                <w:szCs w:val="24"/>
              </w:rPr>
            </w:pPr>
          </w:p>
        </w:tc>
        <w:tc>
          <w:tcPr>
            <w:tcW w:w="1659" w:type="dxa"/>
            <w:gridSpan w:val="2"/>
            <w:vAlign w:val="center"/>
          </w:tcPr>
          <w:p>
            <w:pPr>
              <w:adjustRightInd w:val="0"/>
              <w:snapToGrid w:val="0"/>
              <w:jc w:val="center"/>
              <w:rPr>
                <w:rFonts w:hint="eastAsia" w:ascii="仿宋_GB2312" w:hAnsi="仿宋_GB2312" w:eastAsia="仿宋_GB2312" w:cs="仿宋_GB2312"/>
                <w:kern w:val="0"/>
                <w:sz w:val="24"/>
                <w:szCs w:val="24"/>
              </w:rPr>
            </w:pPr>
          </w:p>
        </w:tc>
        <w:tc>
          <w:tcPr>
            <w:tcW w:w="1660" w:type="dxa"/>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vAlign w:val="center"/>
          </w:tcPr>
          <w:p>
            <w:pPr>
              <w:adjustRightInd w:val="0"/>
              <w:snapToGrid w:val="0"/>
              <w:jc w:val="center"/>
              <w:rPr>
                <w:rFonts w:hint="eastAsia" w:ascii="仿宋_GB2312" w:hAnsi="仿宋_GB2312" w:eastAsia="仿宋_GB2312" w:cs="仿宋_GB2312"/>
                <w:kern w:val="0"/>
                <w:sz w:val="24"/>
                <w:szCs w:val="24"/>
              </w:rPr>
            </w:pPr>
          </w:p>
        </w:tc>
        <w:tc>
          <w:tcPr>
            <w:tcW w:w="1659" w:type="dxa"/>
            <w:gridSpan w:val="2"/>
            <w:vAlign w:val="center"/>
          </w:tcPr>
          <w:p>
            <w:pPr>
              <w:adjustRightInd w:val="0"/>
              <w:snapToGrid w:val="0"/>
              <w:jc w:val="center"/>
              <w:rPr>
                <w:rFonts w:hint="eastAsia" w:ascii="仿宋_GB2312" w:hAnsi="仿宋_GB2312" w:eastAsia="仿宋_GB2312" w:cs="仿宋_GB2312"/>
                <w:kern w:val="0"/>
                <w:sz w:val="24"/>
                <w:szCs w:val="24"/>
              </w:rPr>
            </w:pPr>
          </w:p>
        </w:tc>
        <w:tc>
          <w:tcPr>
            <w:tcW w:w="1659" w:type="dxa"/>
            <w:gridSpan w:val="3"/>
            <w:vAlign w:val="center"/>
          </w:tcPr>
          <w:p>
            <w:pPr>
              <w:adjustRightInd w:val="0"/>
              <w:snapToGrid w:val="0"/>
              <w:jc w:val="center"/>
              <w:rPr>
                <w:rFonts w:hint="eastAsia" w:ascii="仿宋_GB2312" w:hAnsi="仿宋_GB2312" w:eastAsia="仿宋_GB2312" w:cs="仿宋_GB2312"/>
                <w:kern w:val="0"/>
                <w:sz w:val="24"/>
                <w:szCs w:val="24"/>
              </w:rPr>
            </w:pPr>
          </w:p>
        </w:tc>
        <w:tc>
          <w:tcPr>
            <w:tcW w:w="1659" w:type="dxa"/>
            <w:gridSpan w:val="2"/>
            <w:vAlign w:val="center"/>
          </w:tcPr>
          <w:p>
            <w:pPr>
              <w:adjustRightInd w:val="0"/>
              <w:snapToGrid w:val="0"/>
              <w:jc w:val="center"/>
              <w:rPr>
                <w:rFonts w:hint="eastAsia" w:ascii="仿宋_GB2312" w:hAnsi="仿宋_GB2312" w:eastAsia="仿宋_GB2312" w:cs="仿宋_GB2312"/>
                <w:kern w:val="0"/>
                <w:sz w:val="24"/>
                <w:szCs w:val="24"/>
              </w:rPr>
            </w:pPr>
          </w:p>
        </w:tc>
        <w:tc>
          <w:tcPr>
            <w:tcW w:w="1660" w:type="dxa"/>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6" w:type="dxa"/>
            <w:gridSpan w:val="9"/>
            <w:vAlign w:val="center"/>
          </w:tcPr>
          <w:p>
            <w:pPr>
              <w:adjustRightInd w:val="0"/>
              <w:snapToGrid w:val="0"/>
              <w:jc w:val="center"/>
              <w:rPr>
                <w:rFonts w:hint="eastAsia" w:ascii="仿宋_GB2312" w:hAnsi="仿宋_GB2312" w:eastAsia="仿宋_GB2312" w:cs="仿宋_GB2312"/>
                <w:kern w:val="0"/>
                <w:sz w:val="24"/>
                <w:szCs w:val="24"/>
              </w:rPr>
            </w:pPr>
          </w:p>
          <w:p>
            <w:pPr>
              <w:adjustRightInd w:val="0"/>
              <w:snapToGrid w:val="0"/>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本企业承诺以上内容真实可靠，如申请表中信息与实际情况不符，本企业将承担相应的法律责任。</w:t>
            </w:r>
          </w:p>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法定代表人或授权代表：</w:t>
            </w:r>
          </w:p>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企业公章：</w:t>
            </w:r>
          </w:p>
        </w:tc>
      </w:tr>
    </w:tbl>
    <w:p>
      <w:pPr>
        <w:keepNext w:val="0"/>
        <w:keepLines w:val="0"/>
        <w:pageBreakBefore w:val="0"/>
        <w:widowControl w:val="0"/>
        <w:kinsoku/>
        <w:wordWrap/>
        <w:overflowPunct/>
        <w:topLinePunct w:val="0"/>
        <w:autoSpaceDE/>
        <w:autoSpaceDN/>
        <w:bidi w:val="0"/>
        <w:adjustRightInd w:val="0"/>
        <w:snapToGrid w:val="0"/>
        <w:spacing w:before="120" w:after="120" w:line="240" w:lineRule="auto"/>
        <w:textAlignment w:val="auto"/>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rPr>
        <w:t>注：</w:t>
      </w:r>
      <w:r>
        <w:rPr>
          <w:rFonts w:hint="eastAsia" w:ascii="仿宋_GB2312" w:hAnsi="仿宋_GB2312" w:eastAsia="仿宋_GB2312" w:cs="仿宋_GB2312"/>
          <w:sz w:val="22"/>
          <w:lang w:val="en-US" w:eastAsia="zh-CN"/>
        </w:rPr>
        <w:t>1.省间指广东省外；</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240" w:lineRule="auto"/>
        <w:ind w:left="657" w:leftChars="208" w:hanging="220" w:hangingChars="100"/>
        <w:textAlignment w:val="auto"/>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2.绿电环境溢价总额指的是绿电交易合同及绿电交易结算凭证中的绿电环境价值电费总额，优先采用绿电交易结算凭证中的信息。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240" w:lineRule="auto"/>
        <w:ind w:firstLine="440" w:firstLineChars="200"/>
        <w:textAlignment w:val="auto"/>
        <w:rPr>
          <w:rFonts w:hint="eastAsia" w:ascii="仿宋_GB2312" w:hAnsi="仿宋_GB2312" w:eastAsia="仿宋_GB2312" w:cs="仿宋_GB2312"/>
          <w:sz w:val="22"/>
        </w:rPr>
      </w:pPr>
      <w:r>
        <w:rPr>
          <w:rFonts w:hint="eastAsia" w:ascii="仿宋_GB2312" w:hAnsi="仿宋_GB2312" w:eastAsia="仿宋_GB2312" w:cs="仿宋_GB2312"/>
          <w:sz w:val="22"/>
          <w:lang w:val="en-US" w:eastAsia="zh-CN"/>
        </w:rPr>
        <w:t>3.</w:t>
      </w:r>
      <w:r>
        <w:rPr>
          <w:rFonts w:hint="eastAsia" w:ascii="仿宋_GB2312" w:hAnsi="仿宋_GB2312" w:eastAsia="仿宋_GB2312" w:cs="仿宋_GB2312"/>
          <w:sz w:val="22"/>
        </w:rPr>
        <w:t xml:space="preserve">绿色电力消费凭证、绿电交易结算凭证、绿电交易合同复印件附后。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44"/>
    <w:rsid w:val="000E041C"/>
    <w:rsid w:val="000E0749"/>
    <w:rsid w:val="0031678A"/>
    <w:rsid w:val="003C3DBA"/>
    <w:rsid w:val="0043668D"/>
    <w:rsid w:val="00451B8C"/>
    <w:rsid w:val="004738B5"/>
    <w:rsid w:val="00514661"/>
    <w:rsid w:val="00686C44"/>
    <w:rsid w:val="00764FF0"/>
    <w:rsid w:val="007B732A"/>
    <w:rsid w:val="00A439ED"/>
    <w:rsid w:val="00C11927"/>
    <w:rsid w:val="00EA2FDF"/>
    <w:rsid w:val="0DFF635B"/>
    <w:rsid w:val="2F9F4D14"/>
    <w:rsid w:val="32FD73A3"/>
    <w:rsid w:val="4FEF9A8A"/>
    <w:rsid w:val="5FED497D"/>
    <w:rsid w:val="5FF76632"/>
    <w:rsid w:val="6754187B"/>
    <w:rsid w:val="69FFA5C8"/>
    <w:rsid w:val="6DF4FB46"/>
    <w:rsid w:val="6F7EF975"/>
    <w:rsid w:val="70516F3E"/>
    <w:rsid w:val="79FF356C"/>
    <w:rsid w:val="7D6F2485"/>
    <w:rsid w:val="7EBB9F88"/>
    <w:rsid w:val="7FEE03D0"/>
    <w:rsid w:val="99FF2529"/>
    <w:rsid w:val="BEEB6E5B"/>
    <w:rsid w:val="BFF90BE8"/>
    <w:rsid w:val="CF7F81FA"/>
    <w:rsid w:val="E9772441"/>
    <w:rsid w:val="F9E733C2"/>
    <w:rsid w:val="FA5ED2FF"/>
    <w:rsid w:val="FCD7C161"/>
    <w:rsid w:val="FD2FC347"/>
    <w:rsid w:val="FDFEADE0"/>
    <w:rsid w:val="FF5E6856"/>
    <w:rsid w:val="FF9D6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674</Words>
  <Characters>711</Characters>
  <Lines>5</Lines>
  <Paragraphs>1</Paragraphs>
  <TotalTime>3</TotalTime>
  <ScaleCrop>false</ScaleCrop>
  <LinksUpToDate>false</LinksUpToDate>
  <CharactersWithSpaces>712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2025-02-28T15:57:00Z</dcterms:created>
  <dc:creator>Jiang Jingjing</dc:creator>
  <cp:lastModifiedBy>sthjj</cp:lastModifiedBy>
  <cp:lastPrinted>2025-03-07T00:25:00Z</cp:lastPrinted>
  <dcterms:modified xsi:type="dcterms:W3CDTF">2025-03-14T11:12:43Z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eyJoZGlkIjoiYTZhNmY3MWQ0NzJhZjliZjYzM2ZjNTZhNjlkOGVmNzkiLCJ1c2VySWQiOiI1MDgzNzc1ODgifQ==</vt:lpwstr>
  </property>
  <property fmtid="{D5CDD505-2E9C-101B-9397-08002B2CF9AE}" pid="4" name="ICV">
    <vt:lpwstr>23518FFCF14E4B2B961F1F3CCDB0DD69_12</vt:lpwstr>
  </property>
</Properties>
</file>