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val="0"/>
        <w:wordWrap/>
        <w:overflowPunct w:val="0"/>
        <w:topLinePunct w:val="0"/>
        <w:autoSpaceDE/>
        <w:autoSpaceDN/>
        <w:bidi w:val="0"/>
        <w:adjustRightInd/>
        <w:snapToGrid/>
        <w:spacing w:before="0" w:line="560" w:lineRule="exact"/>
        <w:ind w:left="0" w:firstLine="0" w:firstLineChars="0"/>
        <w:jc w:val="both"/>
        <w:textAlignment w:val="auto"/>
        <w:rPr>
          <w:rFonts w:hint="eastAsia" w:ascii="方正小标宋简体" w:hAnsi="方正小标宋简体" w:eastAsia="方正小标宋简体" w:cs="方正小标宋简体"/>
          <w:snapToGrid/>
          <w:sz w:val="32"/>
          <w:szCs w:val="32"/>
          <w:lang w:val="en-US" w:eastAsia="zh-CN"/>
        </w:rPr>
      </w:pPr>
      <w:r>
        <w:rPr>
          <w:rFonts w:hint="eastAsia" w:ascii="方正小标宋简体" w:hAnsi="方正小标宋简体" w:eastAsia="方正小标宋简体" w:cs="方正小标宋简体"/>
          <w:snapToGrid/>
          <w:sz w:val="32"/>
          <w:szCs w:val="32"/>
          <w:lang w:val="en-US" w:eastAsia="zh-CN"/>
        </w:rPr>
        <w:t>附件</w:t>
      </w:r>
    </w:p>
    <w:p>
      <w:pPr>
        <w:pStyle w:val="2"/>
        <w:keepNext w:val="0"/>
        <w:keepLines w:val="0"/>
        <w:pageBreakBefore w:val="0"/>
        <w:widowControl w:val="0"/>
        <w:kinsoku w:val="0"/>
        <w:wordWrap/>
        <w:overflowPunct w:val="0"/>
        <w:topLinePunct w:val="0"/>
        <w:autoSpaceDE/>
        <w:autoSpaceDN/>
        <w:bidi w:val="0"/>
        <w:adjustRightInd/>
        <w:snapToGrid/>
        <w:spacing w:before="0" w:line="560" w:lineRule="exact"/>
        <w:ind w:left="0" w:firstLine="0" w:firstLineChars="0"/>
        <w:jc w:val="center"/>
        <w:textAlignment w:val="auto"/>
        <w:rPr>
          <w:rFonts w:hint="default"/>
          <w:lang w:val="en-US" w:eastAsia="zh-CN"/>
        </w:rPr>
      </w:pPr>
      <w:r>
        <w:rPr>
          <w:rFonts w:hint="eastAsia" w:ascii="方正小标宋简体" w:hAnsi="方正小标宋简体" w:eastAsia="方正小标宋简体" w:cs="方正小标宋简体"/>
          <w:snapToGrid/>
          <w:sz w:val="44"/>
          <w:szCs w:val="44"/>
          <w:lang w:val="en-US" w:eastAsia="zh-CN"/>
        </w:rPr>
        <w:t>深圳市重点管控新污染物清单（2025年版）</w:t>
      </w:r>
    </w:p>
    <w:tbl>
      <w:tblPr>
        <w:tblStyle w:val="5"/>
        <w:tblW w:w="506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
        <w:gridCol w:w="1042"/>
        <w:gridCol w:w="1576"/>
        <w:gridCol w:w="1715"/>
        <w:gridCol w:w="8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blHeader/>
          <w:jc w:val="center"/>
        </w:trPr>
        <w:tc>
          <w:tcPr>
            <w:tcW w:w="335" w:type="pct"/>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bCs/>
                <w:snapToGrid/>
                <w:color w:val="000000"/>
                <w:kern w:val="2"/>
                <w:sz w:val="24"/>
                <w:szCs w:val="24"/>
                <w:lang w:val="en-US" w:eastAsia="zh-CN" w:bidi="ar-SA"/>
              </w:rPr>
            </w:pPr>
            <w:r>
              <w:rPr>
                <w:rFonts w:hint="eastAsia" w:ascii="仿宋_GB2312" w:hAnsi="仿宋_GB2312" w:eastAsia="仿宋_GB2312" w:cs="仿宋_GB2312"/>
                <w:b/>
                <w:bCs/>
                <w:snapToGrid/>
                <w:color w:val="000000"/>
                <w:kern w:val="2"/>
                <w:sz w:val="24"/>
                <w:szCs w:val="24"/>
                <w:lang w:val="en-US" w:eastAsia="zh-CN" w:bidi="ar-SA"/>
              </w:rPr>
              <w:t>编号</w:t>
            </w:r>
          </w:p>
        </w:tc>
        <w:tc>
          <w:tcPr>
            <w:tcW w:w="922" w:type="pct"/>
            <w:gridSpan w:val="2"/>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bCs/>
                <w:snapToGrid/>
                <w:color w:val="000000"/>
                <w:kern w:val="2"/>
                <w:sz w:val="24"/>
                <w:szCs w:val="24"/>
                <w:lang w:val="en-US" w:eastAsia="zh-CN" w:bidi="ar-SA"/>
              </w:rPr>
            </w:pPr>
            <w:r>
              <w:rPr>
                <w:rFonts w:hint="eastAsia" w:ascii="仿宋_GB2312" w:hAnsi="仿宋_GB2312" w:eastAsia="仿宋_GB2312" w:cs="仿宋_GB2312"/>
                <w:b/>
                <w:bCs/>
                <w:snapToGrid/>
                <w:color w:val="000000"/>
                <w:kern w:val="2"/>
                <w:sz w:val="24"/>
                <w:szCs w:val="24"/>
                <w:lang w:val="en-US" w:eastAsia="zh-CN" w:bidi="ar-SA"/>
              </w:rPr>
              <w:t>新污染物名称</w:t>
            </w:r>
          </w:p>
        </w:tc>
        <w:tc>
          <w:tcPr>
            <w:tcW w:w="604" w:type="pct"/>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bCs/>
                <w:snapToGrid/>
                <w:color w:val="000000"/>
                <w:kern w:val="2"/>
                <w:sz w:val="24"/>
                <w:szCs w:val="24"/>
                <w:lang w:val="en-US" w:eastAsia="zh-CN" w:bidi="ar-SA"/>
              </w:rPr>
            </w:pPr>
            <w:r>
              <w:rPr>
                <w:rFonts w:hint="eastAsia" w:ascii="仿宋_GB2312" w:hAnsi="仿宋_GB2312" w:eastAsia="仿宋_GB2312" w:cs="仿宋_GB2312"/>
                <w:b/>
                <w:bCs/>
                <w:snapToGrid/>
                <w:color w:val="000000"/>
                <w:kern w:val="2"/>
                <w:sz w:val="24"/>
                <w:szCs w:val="24"/>
                <w:lang w:val="en-US" w:eastAsia="zh-CN" w:bidi="ar-SA"/>
              </w:rPr>
              <w:t>CAS号</w:t>
            </w:r>
          </w:p>
        </w:tc>
        <w:tc>
          <w:tcPr>
            <w:tcW w:w="3138" w:type="pct"/>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bCs/>
                <w:snapToGrid/>
                <w:color w:val="000000"/>
                <w:kern w:val="2"/>
                <w:sz w:val="24"/>
                <w:szCs w:val="24"/>
                <w:lang w:val="en-US" w:eastAsia="zh-CN" w:bidi="ar-SA"/>
              </w:rPr>
            </w:pPr>
            <w:r>
              <w:rPr>
                <w:rFonts w:hint="eastAsia" w:ascii="仿宋_GB2312" w:hAnsi="仿宋_GB2312" w:eastAsia="仿宋_GB2312" w:cs="仿宋_GB2312"/>
                <w:b/>
                <w:bCs/>
                <w:snapToGrid/>
                <w:color w:val="000000"/>
                <w:kern w:val="2"/>
                <w:sz w:val="24"/>
                <w:szCs w:val="24"/>
                <w:lang w:val="en-US" w:eastAsia="zh-CN" w:bidi="ar-SA"/>
              </w:rPr>
              <w:t>主要环境风险管控措施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0" w:hRule="atLeast"/>
          <w:jc w:val="center"/>
        </w:trPr>
        <w:tc>
          <w:tcPr>
            <w:tcW w:w="335" w:type="pct"/>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一</w:t>
            </w:r>
          </w:p>
        </w:tc>
        <w:tc>
          <w:tcPr>
            <w:tcW w:w="922" w:type="pct"/>
            <w:gridSpan w:val="2"/>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全氟辛基磺酸及其盐类和全氟辛基磺酰氟（PFOS类）</w:t>
            </w:r>
          </w:p>
        </w:tc>
        <w:tc>
          <w:tcPr>
            <w:tcW w:w="604" w:type="pct"/>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例如：</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1763-23-1</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307-35-7</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2795-39-3</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29457-72-5</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29081-56-9</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70225-14-8</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56773-42-3</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251099-16-8</w:t>
            </w:r>
          </w:p>
        </w:tc>
        <w:tc>
          <w:tcPr>
            <w:tcW w:w="3138" w:type="pct"/>
            <w:tcMar>
              <w:left w:w="28" w:type="dxa"/>
              <w:right w:w="2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1.禁止生产、加工使用、进出口。</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2.已禁止使用的，或者所有者申报废弃的，或者有关部门依法收缴或接收且需要销毁的全氟辛基磺酸及其盐类和全氟辛基磺酰氟，根据国家危险废物名录或者危险废物鉴别标准判定属于危险废物的，应当按照危险废物实施环境管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3.土壤污染重点监管单位中涉及PFOS类生产或使用的企业，应当依法建立土壤污染隐患排查制度，保证持续有效防止有毒有害物质渗漏、流失、扬散。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35" w:type="pct"/>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二</w:t>
            </w:r>
          </w:p>
        </w:tc>
        <w:tc>
          <w:tcPr>
            <w:tcW w:w="922" w:type="pct"/>
            <w:gridSpan w:val="2"/>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全氟辛酸及其盐类和相关化合物</w:t>
            </w:r>
            <w:r>
              <w:rPr>
                <w:rFonts w:hint="eastAsia" w:ascii="仿宋_GB2312" w:hAnsi="仿宋_GB2312" w:eastAsia="仿宋_GB2312" w:cs="仿宋_GB2312"/>
                <w:snapToGrid/>
                <w:color w:val="000000"/>
                <w:kern w:val="2"/>
                <w:sz w:val="24"/>
                <w:szCs w:val="24"/>
                <w:vertAlign w:val="superscript"/>
                <w:lang w:val="en-US" w:eastAsia="zh-CN" w:bidi="ar-SA"/>
              </w:rPr>
              <w:t>1</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（PFOA类）</w:t>
            </w:r>
          </w:p>
        </w:tc>
        <w:tc>
          <w:tcPr>
            <w:tcW w:w="604" w:type="pct"/>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w:t>
            </w:r>
          </w:p>
        </w:tc>
        <w:tc>
          <w:tcPr>
            <w:tcW w:w="3138" w:type="pct"/>
            <w:tcMar>
              <w:left w:w="28" w:type="dxa"/>
              <w:right w:w="2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1.禁止新建全氟辛酸生产装置。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2.禁止生产、加工使用（以下用途除外）。</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（1）半导体制造中的光刻或蚀刻工艺；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（2）用于胶卷的摄影涂料；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（3）保护工人免受危险液体造成的健康和安全风险影响的拒油拒水纺织品；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（4）侵入性和可植入的医疗装置；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（5）使用全氟碘辛烷生产全氟溴辛烷，用于药品生产目的；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（6）为生产高性能耐腐蚀气体过滤膜、水过滤膜和医疗用布膜，工业废热交换器设备，以及能防止挥发性有机化合物和PM</w:t>
            </w:r>
            <w:r>
              <w:rPr>
                <w:rFonts w:hint="eastAsia" w:ascii="仿宋_GB2312" w:hAnsi="仿宋_GB2312" w:eastAsia="仿宋_GB2312" w:cs="仿宋_GB2312"/>
                <w:snapToGrid/>
                <w:color w:val="000000"/>
                <w:kern w:val="2"/>
                <w:sz w:val="24"/>
                <w:szCs w:val="24"/>
                <w:vertAlign w:val="subscript"/>
                <w:lang w:val="en-US" w:eastAsia="zh-CN" w:bidi="ar-SA"/>
              </w:rPr>
              <w:t>2.5</w:t>
            </w:r>
            <w:r>
              <w:rPr>
                <w:rFonts w:hint="eastAsia" w:ascii="仿宋_GB2312" w:hAnsi="仿宋_GB2312" w:eastAsia="仿宋_GB2312" w:cs="仿宋_GB2312"/>
                <w:snapToGrid/>
                <w:color w:val="000000"/>
                <w:kern w:val="2"/>
                <w:sz w:val="24"/>
                <w:szCs w:val="24"/>
                <w:lang w:val="en-US" w:eastAsia="zh-CN" w:bidi="ar-SA"/>
              </w:rPr>
              <w:t>颗粒泄露的工业密封剂等产品而制造聚四氟乙烯（PTFE）和聚偏氟乙烯（PVDF）；</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（7）制造用于生产输电用高压电线电缆的聚全氟乙丙烯（FEP）。</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3.将PFOA类用于上述用途生产的企业，应当依法实施强制性清洁生产审核。</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4.进口或出口PFOA类，被纳入中国严格限制的有毒化学品名录的，应办理有毒化学品进（出）口环境管理放行通知单。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5.已禁止使用的，或者所有者申报废弃的，或者有关部门依法收缴或接收且需要销毁的全氟辛酸及其盐类和相关化合物，根据国家危险废物名录或者危险废物鉴别标准判定属于危险废物的，应当按照危险废物实施环境管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6.土壤污染重点监管单位中涉及PFOA类生产或使用的企业，应当依法建立土壤污染隐患排查制度，保证持续有效防止有毒有害物质渗漏、流失、扬散。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3" w:hRule="atLeast"/>
          <w:jc w:val="center"/>
        </w:trPr>
        <w:tc>
          <w:tcPr>
            <w:tcW w:w="335" w:type="pct"/>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三</w:t>
            </w:r>
          </w:p>
        </w:tc>
        <w:tc>
          <w:tcPr>
            <w:tcW w:w="922" w:type="pct"/>
            <w:gridSpan w:val="2"/>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十溴二苯醚</w:t>
            </w:r>
          </w:p>
        </w:tc>
        <w:tc>
          <w:tcPr>
            <w:tcW w:w="604" w:type="pct"/>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1163-19-5</w:t>
            </w:r>
          </w:p>
        </w:tc>
        <w:tc>
          <w:tcPr>
            <w:tcW w:w="3138" w:type="pct"/>
            <w:tcMar>
              <w:left w:w="28" w:type="dxa"/>
              <w:right w:w="2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1.禁止生产或加工使用。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2.禁止进出口。</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3.已禁止使用的，或者所有者申报废弃的，或者有关部门依法收缴或接收且需要销毁的十溴二苯醚，根据国家危险废物名录或者危险废物鉴别标准判定属于危险废物的，应当按照危险废物实施环境管理。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4.土壤污染重点监管单位中涉及十溴二苯醚生产或使用的企业，应当依法建立土壤污染隐患排查制度，保证持续有效防止有毒有害物质渗漏、流失、扬散。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0" w:hRule="atLeast"/>
          <w:jc w:val="center"/>
        </w:trPr>
        <w:tc>
          <w:tcPr>
            <w:tcW w:w="335" w:type="pct"/>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四</w:t>
            </w:r>
          </w:p>
        </w:tc>
        <w:tc>
          <w:tcPr>
            <w:tcW w:w="922" w:type="pct"/>
            <w:gridSpan w:val="2"/>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短链氯化石蜡</w:t>
            </w:r>
            <w:r>
              <w:rPr>
                <w:rFonts w:hint="eastAsia" w:ascii="仿宋_GB2312" w:hAnsi="仿宋_GB2312" w:eastAsia="仿宋_GB2312" w:cs="仿宋_GB2312"/>
                <w:snapToGrid/>
                <w:color w:val="000000"/>
                <w:kern w:val="2"/>
                <w:sz w:val="24"/>
                <w:szCs w:val="24"/>
                <w:vertAlign w:val="superscript"/>
                <w:lang w:val="en-US" w:eastAsia="zh-CN" w:bidi="ar-SA"/>
              </w:rPr>
              <w:t>2</w:t>
            </w:r>
          </w:p>
        </w:tc>
        <w:tc>
          <w:tcPr>
            <w:tcW w:w="604" w:type="pct"/>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例如：</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85535-84-8</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68920-70-7</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71011-12-6</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85536-22-7</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85681-73-8</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108171-26-2</w:t>
            </w:r>
          </w:p>
        </w:tc>
        <w:tc>
          <w:tcPr>
            <w:tcW w:w="3138" w:type="pct"/>
            <w:tcMar>
              <w:left w:w="28" w:type="dxa"/>
              <w:right w:w="2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1.禁止生产或加工使用。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2.禁止进出口。</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3.已禁止使用的，或者所有者申报废弃的，或者有关部门依法收缴或接收且需要销毁的短链氯化石蜡，根据国家危险废物名录或者危险废物鉴别标准判定属于危险废物的，应当按照危险废物实施环境管理。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4.土壤污染重点监管单位中涉及短链氯化石蜡生产或使用的企业，应当依法建立土壤污染隐患排查制度，保证持续有效防止有毒有害物质渗漏、流失、扬散。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2" w:hRule="atLeast"/>
          <w:jc w:val="center"/>
        </w:trPr>
        <w:tc>
          <w:tcPr>
            <w:tcW w:w="335" w:type="pct"/>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五</w:t>
            </w:r>
          </w:p>
        </w:tc>
        <w:tc>
          <w:tcPr>
            <w:tcW w:w="922" w:type="pct"/>
            <w:gridSpan w:val="2"/>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六氯丁二烯</w:t>
            </w:r>
          </w:p>
        </w:tc>
        <w:tc>
          <w:tcPr>
            <w:tcW w:w="604" w:type="pct"/>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87-68-3</w:t>
            </w:r>
          </w:p>
        </w:tc>
        <w:tc>
          <w:tcPr>
            <w:tcW w:w="3138" w:type="pct"/>
            <w:tcMar>
              <w:left w:w="28" w:type="dxa"/>
              <w:right w:w="2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1.禁止生产、加工使用、进出口。</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2.依据《石油化学工业污染物排放标准》（GB 31571），对涉六氯丁二烯的相关企业，实施达标排放。</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3.已禁止使用的，或者所有者申报废弃的，或者有关部门依法收缴或接收且需要销毁的六氯丁二烯，根据国家危险废物名录或者危险废物鉴别标准判定属于危险废物的，应当按照危险废物实施环境管理。严格落实化工生产过程中含六氯丁二烯的重馏分、高沸点釜底残余物等危险废物管理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4.土壤污染重点监管单位中涉及六氯丁二烯生产或使用的企业，应当依法建立土壤污染隐患排查制度，保证持续有效防止有毒有害物质渗漏、流失、扬散。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8" w:hRule="atLeast"/>
          <w:jc w:val="center"/>
        </w:trPr>
        <w:tc>
          <w:tcPr>
            <w:tcW w:w="335" w:type="pct"/>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六</w:t>
            </w:r>
          </w:p>
        </w:tc>
        <w:tc>
          <w:tcPr>
            <w:tcW w:w="922" w:type="pct"/>
            <w:gridSpan w:val="2"/>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五氯苯酚及其盐类和酯类</w:t>
            </w:r>
          </w:p>
        </w:tc>
        <w:tc>
          <w:tcPr>
            <w:tcW w:w="604" w:type="pct"/>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87-86-5</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131-52-2</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27735-64-4</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3772-94-9</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1825-21-4</w:t>
            </w:r>
          </w:p>
        </w:tc>
        <w:tc>
          <w:tcPr>
            <w:tcW w:w="3138" w:type="pct"/>
            <w:tcMar>
              <w:left w:w="28" w:type="dxa"/>
              <w:right w:w="2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1.禁止生产、加工使用、进出口。</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2.已禁止使用的，或者所有者申报废弃的，或者有关部门依法收缴或接收且需要销毁的五氯苯酚及其盐类和酯类，根据国家危险废物名录或者危险废物鉴别标准判定属于危险废物的，应当按照危险废物实施环境管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3.土壤污染重点监管单位中涉及五氯苯酚及其盐类和酯类生产或使用的企业，应当依法建立土壤污染隐患排查制度，保证持续有效防止有毒有害物质渗漏、流失、扬散。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9" w:hRule="atLeast"/>
          <w:jc w:val="center"/>
        </w:trPr>
        <w:tc>
          <w:tcPr>
            <w:tcW w:w="335" w:type="pct"/>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七</w:t>
            </w:r>
          </w:p>
        </w:tc>
        <w:tc>
          <w:tcPr>
            <w:tcW w:w="922" w:type="pct"/>
            <w:gridSpan w:val="2"/>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三氯杀螨醇</w:t>
            </w:r>
          </w:p>
        </w:tc>
        <w:tc>
          <w:tcPr>
            <w:tcW w:w="604" w:type="pct"/>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115-32-2</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10606-46-9</w:t>
            </w:r>
          </w:p>
        </w:tc>
        <w:tc>
          <w:tcPr>
            <w:tcW w:w="3138" w:type="pct"/>
            <w:tcMar>
              <w:left w:w="28" w:type="dxa"/>
              <w:right w:w="2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1.禁止生产、加工使用、进出口。</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2.已禁止使用的，或者所有者申报废弃的，或者有关部门依法收缴或接收且需要销毁的三氯杀螨醇，根据国家危险废物名录或者危险废物鉴别标准判定属于危险废物的，应当按照危险废物实施环境管理。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0" w:hRule="atLeast"/>
          <w:jc w:val="center"/>
        </w:trPr>
        <w:tc>
          <w:tcPr>
            <w:tcW w:w="335" w:type="pct"/>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八</w:t>
            </w:r>
          </w:p>
        </w:tc>
        <w:tc>
          <w:tcPr>
            <w:tcW w:w="922" w:type="pct"/>
            <w:gridSpan w:val="2"/>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全氟己基磺酸及其盐类和其相关化合物</w:t>
            </w:r>
            <w:r>
              <w:rPr>
                <w:rFonts w:hint="eastAsia" w:ascii="仿宋_GB2312" w:hAnsi="仿宋_GB2312" w:eastAsia="仿宋_GB2312" w:cs="仿宋_GB2312"/>
                <w:snapToGrid/>
                <w:color w:val="000000"/>
                <w:kern w:val="2"/>
                <w:sz w:val="24"/>
                <w:szCs w:val="24"/>
                <w:vertAlign w:val="superscript"/>
                <w:lang w:val="en-US" w:eastAsia="zh-CN" w:bidi="ar-SA"/>
              </w:rPr>
              <w:t>3</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（PFHxS类）</w:t>
            </w:r>
          </w:p>
        </w:tc>
        <w:tc>
          <w:tcPr>
            <w:tcW w:w="604" w:type="pct"/>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w:t>
            </w:r>
          </w:p>
        </w:tc>
        <w:tc>
          <w:tcPr>
            <w:tcW w:w="3138" w:type="pct"/>
            <w:tcMar>
              <w:left w:w="28" w:type="dxa"/>
              <w:right w:w="2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1.禁止生产、加工使用、进出口。</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2.已禁止使用的，或者所有者申报废弃的，或者有关部门依法收缴或接收且需要销毁的全氟己基磺酸及其盐类和其相关化合物，根据国家危险废物名录或者危险废物鉴别标准判定属于危险废物的，应当按照危险废物实施环境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2" w:hRule="atLeast"/>
          <w:jc w:val="center"/>
        </w:trPr>
        <w:tc>
          <w:tcPr>
            <w:tcW w:w="335" w:type="pct"/>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九</w:t>
            </w:r>
          </w:p>
        </w:tc>
        <w:tc>
          <w:tcPr>
            <w:tcW w:w="922" w:type="pct"/>
            <w:gridSpan w:val="2"/>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得克隆及其顺式异构体和反式异构体</w:t>
            </w:r>
          </w:p>
        </w:tc>
        <w:tc>
          <w:tcPr>
            <w:tcW w:w="604" w:type="pct"/>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13560-89-9 135821-03-3 135821-74-8</w:t>
            </w:r>
          </w:p>
        </w:tc>
        <w:tc>
          <w:tcPr>
            <w:tcW w:w="3138" w:type="pct"/>
            <w:tcMar>
              <w:left w:w="28" w:type="dxa"/>
              <w:right w:w="2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1.禁止生产、加工使用、进出口。</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2.已禁止使用的，或者所有者申报废弃的，或者有关部门依法收缴或接收且需要销毁的得克隆及其顺式异构体和反式异构体，根据国家危险废物名录或者危险废物鉴别标准判定属于危险废物的，应当按照危险废物实施环境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3" w:hRule="atLeast"/>
          <w:jc w:val="center"/>
        </w:trPr>
        <w:tc>
          <w:tcPr>
            <w:tcW w:w="335" w:type="pct"/>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十</w:t>
            </w:r>
          </w:p>
        </w:tc>
        <w:tc>
          <w:tcPr>
            <w:tcW w:w="922" w:type="pct"/>
            <w:gridSpan w:val="2"/>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二氯甲烷</w:t>
            </w:r>
          </w:p>
        </w:tc>
        <w:tc>
          <w:tcPr>
            <w:tcW w:w="604" w:type="pct"/>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75-09-2</w:t>
            </w:r>
          </w:p>
        </w:tc>
        <w:tc>
          <w:tcPr>
            <w:tcW w:w="3138" w:type="pct"/>
            <w:tcMar>
              <w:left w:w="28" w:type="dxa"/>
              <w:right w:w="2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1.禁止生产含有二氯甲烷的脱漆剂。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2.依据化妆品安全技术规范，禁止将二氯甲烷用作化妆品组分。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3.依据《清洗剂挥发性有机化合物含量限值》（GB 38508），水基清洗剂、半水基清洗剂、有机溶剂清洗剂中二氯甲烷、三氯甲烷、三氯乙烯、四氯乙烯含量总和分别不得超过0.5%、2%、20%。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4.依据《石油化学工业污染物排放标准》（GB 31571）、《合成树脂工业污染物排放标准》（GB 31572）、《化学合成类制药工业水污染物排放标准》（GB 21904）等二氯甲烷排放管控要求，实施达标排放。</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5.依据《中华人民共和国大气污染防治法》，相关企业事业单位应当按照国家有关规定建设环境风险预警体系，对排放口和周边环境进行定期监测，评估环境风险，排查环境安全隐患，并采取有效措施防范环境风险。</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6.依据《中华人民共和国水污染防治法》，相关企业事业单位应当对排污口和周边环境进行监测，评估环境风险，排查环境安全隐患，并公开有毒有害水污染物信息，采取有效措施防范环境风险。</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7.土壤污染重点监管单位中涉及二氯甲烷生产或使用的企业，应当依法建立土壤污染隐患排查制度，保证持续有效防止有毒有害物质渗漏、流失、扬散。</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8.严格执行土壤污染风险管控标准，识别和管控有关的土壤环境风险。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5" w:hRule="atLeast"/>
          <w:jc w:val="center"/>
        </w:trPr>
        <w:tc>
          <w:tcPr>
            <w:tcW w:w="335" w:type="pct"/>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十一</w:t>
            </w:r>
          </w:p>
        </w:tc>
        <w:tc>
          <w:tcPr>
            <w:tcW w:w="922" w:type="pct"/>
            <w:gridSpan w:val="2"/>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三氯甲烷</w:t>
            </w:r>
          </w:p>
        </w:tc>
        <w:tc>
          <w:tcPr>
            <w:tcW w:w="604" w:type="pct"/>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67-66-3</w:t>
            </w:r>
          </w:p>
        </w:tc>
        <w:tc>
          <w:tcPr>
            <w:tcW w:w="3138" w:type="pct"/>
            <w:tcMar>
              <w:left w:w="28" w:type="dxa"/>
              <w:right w:w="2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1.禁止生产含有三氯甲烷的脱漆剂。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2.依据《清洗剂挥发性有机化合物含量限值》（GB 38508），水基清洗剂、半水基清洗剂、有机溶剂清洗剂中二氯甲烷、三氯甲烷、三氯乙烯、四氯乙烯含量总和分别不得超过0.5%、2%、20%。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3.依据《石油化学工业污染物排放标准》（GB 31571）等三氯甲烷排放管控要求，实施达标排放。</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4.依据《中华人民共和国大气污染防治法》，相关企业事业单位应当按照国家有关规定建设环境风险预警体系，对排放口和周边环境进行定期监测，评估环境风险，排查环境安全隐患，并采取有效措施防范环境风险。</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5.依据《中华人民共和国水污染防治法》，相关企业事业单位应当对排污口和周边环境进行监测，评估环境风险，排查环境安全隐患，并公开有毒有害水污染物信息，采取有效措施防范环境风险。</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6.土壤污染重点监管单位中涉及三氯甲烷生产或使用的企业，应当依法建立土壤污染隐患排查制度，保证持续有效防止有毒有害物质渗漏、流失、扬散。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3" w:hRule="atLeast"/>
          <w:jc w:val="center"/>
        </w:trPr>
        <w:tc>
          <w:tcPr>
            <w:tcW w:w="335" w:type="pct"/>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十二</w:t>
            </w:r>
          </w:p>
        </w:tc>
        <w:tc>
          <w:tcPr>
            <w:tcW w:w="922" w:type="pct"/>
            <w:gridSpan w:val="2"/>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壬基酚</w:t>
            </w:r>
          </w:p>
        </w:tc>
        <w:tc>
          <w:tcPr>
            <w:tcW w:w="604" w:type="pct"/>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25154-52-3</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84852-15-3</w:t>
            </w:r>
          </w:p>
        </w:tc>
        <w:tc>
          <w:tcPr>
            <w:tcW w:w="3138" w:type="pct"/>
            <w:tcMar>
              <w:left w:w="28" w:type="dxa"/>
              <w:right w:w="2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1.禁止使用壬基酚作为助剂生产农药产品。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2.禁止使用壬基酚生产壬基酚聚氧乙烯醚。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3.依据化妆品安全技术规范，禁止将壬基酚用作化妆品组分。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 w:hRule="atLeast"/>
          <w:jc w:val="center"/>
        </w:trPr>
        <w:tc>
          <w:tcPr>
            <w:tcW w:w="335" w:type="pct"/>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十三</w:t>
            </w:r>
          </w:p>
        </w:tc>
        <w:tc>
          <w:tcPr>
            <w:tcW w:w="922" w:type="pct"/>
            <w:gridSpan w:val="2"/>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抗生素</w:t>
            </w:r>
          </w:p>
        </w:tc>
        <w:tc>
          <w:tcPr>
            <w:tcW w:w="604" w:type="pct"/>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w:t>
            </w:r>
          </w:p>
        </w:tc>
        <w:tc>
          <w:tcPr>
            <w:tcW w:w="3138" w:type="pct"/>
            <w:tcMar>
              <w:left w:w="28" w:type="dxa"/>
              <w:right w:w="2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1.严格落实零售药店凭处方销售处方药类抗菌药物，推行凭兽医处方销售使用兽用抗菌药物。</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2.抗生素生产过程中产生的抗生素菌渣，根据国家危险废物名录或者危险废物鉴别标准，判定属于危险废物的，应当按照危险废物实施环境管理。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3.严格落实《发酵类制药工业水污染物排放标准》（GB 21903）、《化学合成类制药工业水污染物排放标准》（GB 21904）相关排放管控要求。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35" w:type="pct"/>
            <w:vMerge w:val="restart"/>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十四</w:t>
            </w:r>
          </w:p>
        </w:tc>
        <w:tc>
          <w:tcPr>
            <w:tcW w:w="367" w:type="pct"/>
            <w:vMerge w:val="restart"/>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已淘汰类</w:t>
            </w:r>
          </w:p>
        </w:tc>
        <w:tc>
          <w:tcPr>
            <w:tcW w:w="555" w:type="pct"/>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六溴环十二烷</w:t>
            </w:r>
          </w:p>
        </w:tc>
        <w:tc>
          <w:tcPr>
            <w:tcW w:w="604" w:type="pct"/>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25637-99-4</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3194-55-6</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134237-50-6</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134237-51-7</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134237-52-8</w:t>
            </w:r>
          </w:p>
        </w:tc>
        <w:tc>
          <w:tcPr>
            <w:tcW w:w="3138" w:type="pct"/>
            <w:vMerge w:val="restart"/>
            <w:tcMar>
              <w:left w:w="28" w:type="dxa"/>
              <w:right w:w="2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1.禁止生产、加工使用、进出口。</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2.已禁止使用的，或者所有者申报废弃的，或者有关部门依法收缴或接收且需要销毁的已淘汰类新污染物，根据国家危险废物名录或者危险废物鉴别标准判定属于危险废物的，应当按照危险废物实施环境管理。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3.已纳入土壤污染风险管控标准的，严格执行土壤污染风险管控标准，识别和管控有关的土壤环境风险。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35" w:type="pct"/>
            <w:vMerge w:val="continue"/>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snapToGrid/>
                <w:color w:val="000000"/>
                <w:kern w:val="2"/>
                <w:sz w:val="24"/>
                <w:szCs w:val="24"/>
                <w:lang w:val="en-US" w:eastAsia="zh-CN" w:bidi="ar-SA"/>
              </w:rPr>
            </w:pPr>
          </w:p>
        </w:tc>
        <w:tc>
          <w:tcPr>
            <w:tcW w:w="367" w:type="pct"/>
            <w:vMerge w:val="continue"/>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p>
        </w:tc>
        <w:tc>
          <w:tcPr>
            <w:tcW w:w="555" w:type="pct"/>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氯丹</w:t>
            </w:r>
          </w:p>
        </w:tc>
        <w:tc>
          <w:tcPr>
            <w:tcW w:w="604" w:type="pct"/>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57-74-9</w:t>
            </w:r>
          </w:p>
        </w:tc>
        <w:tc>
          <w:tcPr>
            <w:tcW w:w="3138" w:type="pct"/>
            <w:vMerge w:val="continue"/>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35" w:type="pct"/>
            <w:vMerge w:val="continue"/>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snapToGrid/>
                <w:color w:val="000000"/>
                <w:kern w:val="2"/>
                <w:sz w:val="24"/>
                <w:szCs w:val="24"/>
                <w:lang w:val="en-US" w:eastAsia="zh-CN" w:bidi="ar-SA"/>
              </w:rPr>
            </w:pPr>
          </w:p>
        </w:tc>
        <w:tc>
          <w:tcPr>
            <w:tcW w:w="367" w:type="pct"/>
            <w:vMerge w:val="continue"/>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p>
        </w:tc>
        <w:tc>
          <w:tcPr>
            <w:tcW w:w="555" w:type="pct"/>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灭蚁灵</w:t>
            </w:r>
          </w:p>
        </w:tc>
        <w:tc>
          <w:tcPr>
            <w:tcW w:w="604" w:type="pct"/>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2385-85-5</w:t>
            </w:r>
          </w:p>
        </w:tc>
        <w:tc>
          <w:tcPr>
            <w:tcW w:w="3138" w:type="pct"/>
            <w:vMerge w:val="continue"/>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35" w:type="pct"/>
            <w:vMerge w:val="continue"/>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snapToGrid/>
                <w:color w:val="000000"/>
                <w:kern w:val="2"/>
                <w:sz w:val="24"/>
                <w:szCs w:val="24"/>
                <w:lang w:val="en-US" w:eastAsia="zh-CN" w:bidi="ar-SA"/>
              </w:rPr>
            </w:pPr>
          </w:p>
        </w:tc>
        <w:tc>
          <w:tcPr>
            <w:tcW w:w="367" w:type="pct"/>
            <w:vMerge w:val="continue"/>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p>
        </w:tc>
        <w:tc>
          <w:tcPr>
            <w:tcW w:w="555" w:type="pct"/>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六氯苯</w:t>
            </w:r>
          </w:p>
        </w:tc>
        <w:tc>
          <w:tcPr>
            <w:tcW w:w="604" w:type="pct"/>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118-74-1</w:t>
            </w:r>
          </w:p>
        </w:tc>
        <w:tc>
          <w:tcPr>
            <w:tcW w:w="3138" w:type="pct"/>
            <w:vMerge w:val="continue"/>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35" w:type="pct"/>
            <w:vMerge w:val="continue"/>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snapToGrid/>
                <w:color w:val="000000"/>
                <w:kern w:val="2"/>
                <w:sz w:val="24"/>
                <w:szCs w:val="24"/>
                <w:lang w:val="en-US" w:eastAsia="zh-CN" w:bidi="ar-SA"/>
              </w:rPr>
            </w:pPr>
          </w:p>
        </w:tc>
        <w:tc>
          <w:tcPr>
            <w:tcW w:w="367" w:type="pct"/>
            <w:vMerge w:val="continue"/>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p>
        </w:tc>
        <w:tc>
          <w:tcPr>
            <w:tcW w:w="555" w:type="pct"/>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滴滴涕</w:t>
            </w:r>
          </w:p>
        </w:tc>
        <w:tc>
          <w:tcPr>
            <w:tcW w:w="604" w:type="pct"/>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50-29-3</w:t>
            </w:r>
          </w:p>
        </w:tc>
        <w:tc>
          <w:tcPr>
            <w:tcW w:w="3138" w:type="pct"/>
            <w:vMerge w:val="continue"/>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35" w:type="pct"/>
            <w:vMerge w:val="continue"/>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snapToGrid/>
                <w:color w:val="000000"/>
                <w:kern w:val="2"/>
                <w:sz w:val="24"/>
                <w:szCs w:val="24"/>
                <w:lang w:val="en-US" w:eastAsia="zh-CN" w:bidi="ar-SA"/>
              </w:rPr>
            </w:pPr>
          </w:p>
        </w:tc>
        <w:tc>
          <w:tcPr>
            <w:tcW w:w="367" w:type="pct"/>
            <w:vMerge w:val="continue"/>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p>
        </w:tc>
        <w:tc>
          <w:tcPr>
            <w:tcW w:w="555" w:type="pct"/>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α-六氯环己烷</w:t>
            </w:r>
          </w:p>
        </w:tc>
        <w:tc>
          <w:tcPr>
            <w:tcW w:w="604" w:type="pct"/>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319-84-6</w:t>
            </w:r>
          </w:p>
        </w:tc>
        <w:tc>
          <w:tcPr>
            <w:tcW w:w="3138" w:type="pct"/>
            <w:vMerge w:val="continue"/>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35" w:type="pct"/>
            <w:vMerge w:val="continue"/>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snapToGrid/>
                <w:color w:val="000000"/>
                <w:kern w:val="2"/>
                <w:sz w:val="24"/>
                <w:szCs w:val="24"/>
                <w:lang w:val="en-US" w:eastAsia="zh-CN" w:bidi="ar-SA"/>
              </w:rPr>
            </w:pPr>
          </w:p>
        </w:tc>
        <w:tc>
          <w:tcPr>
            <w:tcW w:w="367" w:type="pct"/>
            <w:vMerge w:val="continue"/>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p>
        </w:tc>
        <w:tc>
          <w:tcPr>
            <w:tcW w:w="555" w:type="pct"/>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β-六氯环己烷</w:t>
            </w:r>
          </w:p>
        </w:tc>
        <w:tc>
          <w:tcPr>
            <w:tcW w:w="604" w:type="pct"/>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319-85-7</w:t>
            </w:r>
          </w:p>
        </w:tc>
        <w:tc>
          <w:tcPr>
            <w:tcW w:w="3138" w:type="pct"/>
            <w:vMerge w:val="continue"/>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35" w:type="pct"/>
            <w:vMerge w:val="continue"/>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snapToGrid/>
                <w:color w:val="000000"/>
                <w:kern w:val="2"/>
                <w:sz w:val="24"/>
                <w:szCs w:val="24"/>
                <w:lang w:val="en-US" w:eastAsia="zh-CN" w:bidi="ar-SA"/>
              </w:rPr>
            </w:pPr>
          </w:p>
        </w:tc>
        <w:tc>
          <w:tcPr>
            <w:tcW w:w="367" w:type="pct"/>
            <w:vMerge w:val="continue"/>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p>
        </w:tc>
        <w:tc>
          <w:tcPr>
            <w:tcW w:w="555" w:type="pct"/>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林丹</w:t>
            </w:r>
          </w:p>
        </w:tc>
        <w:tc>
          <w:tcPr>
            <w:tcW w:w="604" w:type="pct"/>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58-89-9</w:t>
            </w:r>
          </w:p>
        </w:tc>
        <w:tc>
          <w:tcPr>
            <w:tcW w:w="3138" w:type="pct"/>
            <w:vMerge w:val="continue"/>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35" w:type="pct"/>
            <w:vMerge w:val="continue"/>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snapToGrid/>
                <w:color w:val="000000"/>
                <w:kern w:val="2"/>
                <w:sz w:val="24"/>
                <w:szCs w:val="24"/>
                <w:lang w:val="en-US" w:eastAsia="zh-CN" w:bidi="ar-SA"/>
              </w:rPr>
            </w:pPr>
          </w:p>
        </w:tc>
        <w:tc>
          <w:tcPr>
            <w:tcW w:w="367" w:type="pct"/>
            <w:vMerge w:val="continue"/>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p>
        </w:tc>
        <w:tc>
          <w:tcPr>
            <w:tcW w:w="555" w:type="pct"/>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硫丹原药及其相关异构体</w:t>
            </w:r>
          </w:p>
        </w:tc>
        <w:tc>
          <w:tcPr>
            <w:tcW w:w="604" w:type="pct"/>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115-29-7</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959-98-8</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33213-65-9</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1031-07-8</w:t>
            </w:r>
          </w:p>
        </w:tc>
        <w:tc>
          <w:tcPr>
            <w:tcW w:w="3138" w:type="pct"/>
            <w:vMerge w:val="continue"/>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35" w:type="pct"/>
            <w:vMerge w:val="continue"/>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snapToGrid/>
                <w:color w:val="000000"/>
                <w:kern w:val="2"/>
                <w:sz w:val="24"/>
                <w:szCs w:val="24"/>
                <w:lang w:val="en-US" w:eastAsia="zh-CN" w:bidi="ar-SA"/>
              </w:rPr>
            </w:pPr>
          </w:p>
        </w:tc>
        <w:tc>
          <w:tcPr>
            <w:tcW w:w="367" w:type="pct"/>
            <w:vMerge w:val="continue"/>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p>
        </w:tc>
        <w:tc>
          <w:tcPr>
            <w:tcW w:w="555" w:type="pct"/>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多氯联苯</w:t>
            </w:r>
          </w:p>
        </w:tc>
        <w:tc>
          <w:tcPr>
            <w:tcW w:w="604" w:type="pct"/>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bidi="ar-SA"/>
              </w:rPr>
              <w:t>—</w:t>
            </w:r>
          </w:p>
        </w:tc>
        <w:tc>
          <w:tcPr>
            <w:tcW w:w="3138" w:type="pct"/>
            <w:vMerge w:val="continue"/>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snapToGrid/>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35" w:type="pct"/>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snapToGrid/>
                <w:color w:val="auto"/>
                <w:kern w:val="2"/>
                <w:sz w:val="24"/>
                <w:szCs w:val="24"/>
                <w:lang w:val="en-US" w:eastAsia="zh-CN" w:bidi="ar-SA"/>
              </w:rPr>
            </w:pPr>
            <w:r>
              <w:rPr>
                <w:rFonts w:hint="eastAsia" w:ascii="仿宋_GB2312" w:hAnsi="仿宋_GB2312" w:eastAsia="仿宋_GB2312" w:cs="仿宋_GB2312"/>
                <w:snapToGrid/>
                <w:color w:val="auto"/>
                <w:kern w:val="2"/>
                <w:sz w:val="24"/>
                <w:szCs w:val="24"/>
                <w:lang w:val="en-US" w:eastAsia="zh-CN" w:bidi="ar-SA"/>
              </w:rPr>
              <w:t>十五</w:t>
            </w:r>
          </w:p>
        </w:tc>
        <w:tc>
          <w:tcPr>
            <w:tcW w:w="922" w:type="pct"/>
            <w:gridSpan w:val="2"/>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snapToGrid/>
                <w:color w:val="auto"/>
                <w:kern w:val="2"/>
                <w:sz w:val="24"/>
                <w:szCs w:val="24"/>
                <w:lang w:val="en-US" w:eastAsia="zh-CN" w:bidi="ar-SA"/>
              </w:rPr>
            </w:pPr>
            <w:r>
              <w:rPr>
                <w:rFonts w:hint="eastAsia" w:ascii="仿宋_GB2312" w:hAnsi="仿宋_GB2312" w:eastAsia="仿宋_GB2312" w:cs="仿宋_GB2312"/>
                <w:snapToGrid/>
                <w:color w:val="auto"/>
                <w:kern w:val="2"/>
                <w:sz w:val="24"/>
                <w:szCs w:val="24"/>
                <w:lang w:val="en-US" w:eastAsia="zh-CN" w:bidi="ar-SA"/>
              </w:rPr>
              <w:t>双酚A</w:t>
            </w:r>
          </w:p>
        </w:tc>
        <w:tc>
          <w:tcPr>
            <w:tcW w:w="604" w:type="pct"/>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snapToGrid/>
                <w:color w:val="auto"/>
                <w:kern w:val="2"/>
                <w:sz w:val="24"/>
                <w:szCs w:val="24"/>
                <w:lang w:val="en-US" w:eastAsia="zh-CN" w:bidi="ar-SA"/>
              </w:rPr>
            </w:pPr>
            <w:r>
              <w:rPr>
                <w:rFonts w:hint="eastAsia" w:ascii="仿宋_GB2312" w:hAnsi="仿宋_GB2312" w:eastAsia="仿宋_GB2312" w:cs="仿宋_GB2312"/>
                <w:snapToGrid/>
                <w:color w:val="auto"/>
                <w:kern w:val="2"/>
                <w:sz w:val="24"/>
                <w:szCs w:val="24"/>
                <w:lang w:val="en-US" w:eastAsia="zh-CN" w:bidi="ar-SA"/>
              </w:rPr>
              <w:t>80-05-7</w:t>
            </w:r>
          </w:p>
        </w:tc>
        <w:tc>
          <w:tcPr>
            <w:tcW w:w="3138" w:type="pct"/>
            <w:tcMar>
              <w:left w:w="28" w:type="dxa"/>
              <w:right w:w="2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0" w:firstLineChars="0"/>
              <w:jc w:val="left"/>
              <w:textAlignment w:val="center"/>
              <w:rPr>
                <w:rFonts w:hint="eastAsia" w:ascii="仿宋_GB2312" w:hAnsi="仿宋_GB2312" w:eastAsia="仿宋_GB2312" w:cs="仿宋_GB2312"/>
                <w:snapToGrid/>
                <w:color w:val="auto"/>
                <w:kern w:val="2"/>
                <w:sz w:val="24"/>
                <w:szCs w:val="24"/>
                <w:lang w:val="en-US" w:eastAsia="zh-CN" w:bidi="ar-SA"/>
              </w:rPr>
            </w:pPr>
            <w:r>
              <w:rPr>
                <w:rFonts w:hint="eastAsia" w:ascii="仿宋_GB2312" w:hAnsi="仿宋_GB2312" w:eastAsia="仿宋_GB2312" w:cs="仿宋_GB2312"/>
                <w:snapToGrid/>
                <w:color w:val="auto"/>
                <w:kern w:val="2"/>
                <w:sz w:val="24"/>
                <w:szCs w:val="24"/>
                <w:lang w:val="en-US" w:eastAsia="zh-CN" w:bidi="ar-SA"/>
              </w:rPr>
              <w:t>1.依据《卫生部等6部门关于禁止双酚A用于婴幼儿奶瓶的公告》（2011年第15号），禁止生产、进口和销售聚碳酸酯婴幼儿奶瓶和其他含双酚A的婴幼儿奶瓶。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0" w:firstLineChars="0"/>
              <w:jc w:val="left"/>
              <w:textAlignment w:val="center"/>
              <w:rPr>
                <w:rFonts w:hint="eastAsia" w:ascii="仿宋_GB2312" w:hAnsi="仿宋_GB2312" w:eastAsia="仿宋_GB2312" w:cs="仿宋_GB2312"/>
                <w:snapToGrid/>
                <w:color w:val="auto"/>
                <w:kern w:val="2"/>
                <w:sz w:val="24"/>
                <w:szCs w:val="24"/>
                <w:lang w:val="en-US" w:eastAsia="zh-CN" w:bidi="ar-SA"/>
              </w:rPr>
            </w:pPr>
            <w:r>
              <w:rPr>
                <w:rFonts w:hint="eastAsia" w:ascii="仿宋_GB2312" w:hAnsi="仿宋_GB2312" w:eastAsia="仿宋_GB2312" w:cs="仿宋_GB2312"/>
                <w:snapToGrid/>
                <w:color w:val="auto"/>
                <w:kern w:val="2"/>
                <w:sz w:val="24"/>
                <w:szCs w:val="24"/>
                <w:lang w:val="en-US" w:eastAsia="zh-CN" w:bidi="ar-SA"/>
              </w:rPr>
              <w:t>2.严格落实《食品安全国家标准 食品接触用塑料材料及制品》（GB 4806.7）、《食品安全国家标准 食品接触用涂料及涂层》（GB 4806.10）等含双酚A树脂的使用要求。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0" w:firstLineChars="0"/>
              <w:jc w:val="left"/>
              <w:textAlignment w:val="center"/>
              <w:rPr>
                <w:rFonts w:hint="eastAsia" w:ascii="仿宋_GB2312" w:hAnsi="仿宋_GB2312" w:eastAsia="仿宋_GB2312" w:cs="仿宋_GB2312"/>
                <w:snapToGrid/>
                <w:color w:val="auto"/>
                <w:kern w:val="2"/>
                <w:sz w:val="24"/>
                <w:szCs w:val="24"/>
                <w:lang w:val="en-US" w:eastAsia="zh-CN" w:bidi="ar-SA"/>
              </w:rPr>
            </w:pPr>
            <w:r>
              <w:rPr>
                <w:rFonts w:hint="eastAsia" w:ascii="仿宋_GB2312" w:hAnsi="仿宋_GB2312" w:eastAsia="仿宋_GB2312" w:cs="仿宋_GB2312"/>
                <w:snapToGrid/>
                <w:color w:val="auto"/>
                <w:kern w:val="2"/>
                <w:sz w:val="24"/>
                <w:szCs w:val="24"/>
                <w:lang w:val="en-US" w:eastAsia="zh-CN" w:bidi="ar-SA"/>
              </w:rPr>
              <w:t>3.依据《石油化学工业污染物排放标准》（GB 31571）、《合成树脂工业污染物排放标准》（GB 31572）等双酚A排放管控要求，实施达标排放。</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0" w:firstLineChars="0"/>
              <w:jc w:val="left"/>
              <w:textAlignment w:val="center"/>
              <w:rPr>
                <w:rFonts w:hint="eastAsia" w:ascii="仿宋_GB2312" w:hAnsi="仿宋_GB2312" w:eastAsia="仿宋_GB2312" w:cs="仿宋_GB2312"/>
                <w:snapToGrid/>
                <w:color w:val="auto"/>
                <w:kern w:val="2"/>
                <w:sz w:val="24"/>
                <w:szCs w:val="24"/>
                <w:lang w:val="en-US" w:eastAsia="zh-CN" w:bidi="ar-SA"/>
              </w:rPr>
            </w:pPr>
            <w:r>
              <w:rPr>
                <w:rFonts w:hint="eastAsia" w:ascii="仿宋_GB2312" w:hAnsi="仿宋_GB2312" w:eastAsia="仿宋_GB2312" w:cs="仿宋_GB2312"/>
                <w:snapToGrid/>
                <w:color w:val="auto"/>
                <w:kern w:val="2"/>
                <w:sz w:val="24"/>
                <w:szCs w:val="24"/>
                <w:lang w:val="en-US" w:eastAsia="zh-CN" w:bidi="ar-SA"/>
              </w:rPr>
              <w:t>4.严格落实《生活饮用水卫生标准》（GB 5749）等双酚A的限值要求。</w:t>
            </w:r>
          </w:p>
        </w:tc>
      </w:tr>
    </w:tbl>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420" w:firstLineChars="200"/>
        <w:jc w:val="both"/>
        <w:textAlignment w:val="auto"/>
        <w:rPr>
          <w:rFonts w:hint="eastAsia" w:ascii="仿宋_GB2312" w:hAnsi="仿宋_GB2312" w:eastAsia="仿宋_GB2312" w:cs="仿宋_GB2312"/>
          <w:snapToGrid/>
          <w:kern w:val="2"/>
          <w:sz w:val="21"/>
          <w:szCs w:val="21"/>
          <w:lang w:eastAsia="zh-CN"/>
        </w:rPr>
      </w:pPr>
      <w:r>
        <w:rPr>
          <w:rFonts w:hint="eastAsia" w:ascii="仿宋_GB2312" w:hAnsi="仿宋_GB2312" w:eastAsia="仿宋_GB2312" w:cs="仿宋_GB2312"/>
          <w:snapToGrid/>
          <w:kern w:val="2"/>
          <w:sz w:val="21"/>
          <w:szCs w:val="21"/>
          <w:lang w:eastAsia="zh-CN"/>
        </w:rPr>
        <w:t>注：</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ind w:leftChars="0" w:firstLine="420" w:firstLineChars="200"/>
        <w:jc w:val="both"/>
        <w:textAlignment w:val="auto"/>
        <w:rPr>
          <w:rFonts w:hint="eastAsia" w:ascii="仿宋_GB2312" w:hAnsi="仿宋_GB2312" w:eastAsia="仿宋_GB2312" w:cs="仿宋_GB2312"/>
          <w:snapToGrid/>
          <w:kern w:val="2"/>
          <w:sz w:val="21"/>
          <w:szCs w:val="21"/>
          <w:lang w:eastAsia="zh-CN"/>
        </w:rPr>
      </w:pPr>
      <w:r>
        <w:rPr>
          <w:rFonts w:hint="eastAsia" w:ascii="仿宋_GB2312" w:hAnsi="仿宋_GB2312" w:eastAsia="仿宋_GB2312" w:cs="仿宋_GB2312"/>
          <w:snapToGrid/>
          <w:kern w:val="2"/>
          <w:sz w:val="21"/>
          <w:szCs w:val="21"/>
          <w:lang w:val="en-US" w:eastAsia="zh-CN"/>
        </w:rPr>
        <w:t>1.</w:t>
      </w:r>
      <w:r>
        <w:rPr>
          <w:rFonts w:hint="eastAsia" w:ascii="仿宋_GB2312" w:hAnsi="仿宋_GB2312" w:eastAsia="仿宋_GB2312" w:cs="仿宋_GB2312"/>
          <w:snapToGrid/>
          <w:kern w:val="2"/>
          <w:sz w:val="21"/>
          <w:szCs w:val="21"/>
          <w:lang w:eastAsia="zh-CN"/>
        </w:rPr>
        <w:t>PFOA 类是指：(i)全氟辛酸（335-67-1)，包括其任何支链异构体；(ii)全氟辛酸盐类；(iii)全氟辛酸相关化合物，即会降解为全氟辛酸的任何物质，包括含有直链或支链全氟基团且以其中(C</w:t>
      </w:r>
      <w:r>
        <w:rPr>
          <w:rFonts w:hint="eastAsia" w:ascii="仿宋_GB2312" w:hAnsi="仿宋_GB2312" w:eastAsia="仿宋_GB2312" w:cs="仿宋_GB2312"/>
          <w:snapToGrid/>
          <w:kern w:val="2"/>
          <w:sz w:val="21"/>
          <w:szCs w:val="21"/>
          <w:vertAlign w:val="subscript"/>
          <w:lang w:eastAsia="zh-CN"/>
        </w:rPr>
        <w:t>7</w:t>
      </w:r>
      <w:r>
        <w:rPr>
          <w:rFonts w:hint="eastAsia" w:ascii="仿宋_GB2312" w:hAnsi="仿宋_GB2312" w:eastAsia="仿宋_GB2312" w:cs="仿宋_GB2312"/>
          <w:snapToGrid/>
          <w:kern w:val="2"/>
          <w:sz w:val="21"/>
          <w:szCs w:val="21"/>
          <w:lang w:eastAsia="zh-CN"/>
        </w:rPr>
        <w:t>F</w:t>
      </w:r>
      <w:r>
        <w:rPr>
          <w:rFonts w:hint="eastAsia" w:ascii="仿宋_GB2312" w:hAnsi="仿宋_GB2312" w:eastAsia="仿宋_GB2312" w:cs="仿宋_GB2312"/>
          <w:snapToGrid/>
          <w:kern w:val="2"/>
          <w:sz w:val="21"/>
          <w:szCs w:val="21"/>
          <w:vertAlign w:val="subscript"/>
          <w:lang w:eastAsia="zh-CN"/>
        </w:rPr>
        <w:t>15</w:t>
      </w:r>
      <w:r>
        <w:rPr>
          <w:rFonts w:hint="eastAsia" w:ascii="仿宋_GB2312" w:hAnsi="仿宋_GB2312" w:eastAsia="仿宋_GB2312" w:cs="仿宋_GB2312"/>
          <w:snapToGrid/>
          <w:kern w:val="2"/>
          <w:sz w:val="21"/>
          <w:szCs w:val="21"/>
          <w:lang w:eastAsia="zh-CN"/>
        </w:rPr>
        <w:t>)C 部分作为结构要素之</w:t>
      </w:r>
      <w:bookmarkStart w:id="0" w:name="_GoBack"/>
      <w:bookmarkEnd w:id="0"/>
      <w:r>
        <w:rPr>
          <w:rFonts w:hint="eastAsia" w:ascii="仿宋_GB2312" w:hAnsi="仿宋_GB2312" w:eastAsia="仿宋_GB2312" w:cs="仿宋_GB2312"/>
          <w:snapToGrid/>
          <w:kern w:val="2"/>
          <w:sz w:val="21"/>
          <w:szCs w:val="21"/>
          <w:lang w:eastAsia="zh-CN"/>
        </w:rPr>
        <w:t>一的任何物质（包括盐类和聚合物）。下列化合物不列为全氟辛酸相关化合物：(i)C</w:t>
      </w:r>
      <w:r>
        <w:rPr>
          <w:rFonts w:hint="eastAsia" w:ascii="仿宋_GB2312" w:hAnsi="仿宋_GB2312" w:eastAsia="仿宋_GB2312" w:cs="仿宋_GB2312"/>
          <w:snapToGrid/>
          <w:kern w:val="2"/>
          <w:sz w:val="21"/>
          <w:szCs w:val="21"/>
          <w:vertAlign w:val="subscript"/>
          <w:lang w:eastAsia="zh-CN"/>
        </w:rPr>
        <w:t>8</w:t>
      </w:r>
      <w:r>
        <w:rPr>
          <w:rFonts w:hint="eastAsia" w:ascii="仿宋_GB2312" w:hAnsi="仿宋_GB2312" w:eastAsia="仿宋_GB2312" w:cs="仿宋_GB2312"/>
          <w:snapToGrid/>
          <w:kern w:val="2"/>
          <w:sz w:val="21"/>
          <w:szCs w:val="21"/>
          <w:lang w:eastAsia="zh-CN"/>
        </w:rPr>
        <w:t>F</w:t>
      </w:r>
      <w:r>
        <w:rPr>
          <w:rFonts w:hint="eastAsia" w:ascii="仿宋_GB2312" w:hAnsi="仿宋_GB2312" w:eastAsia="仿宋_GB2312" w:cs="仿宋_GB2312"/>
          <w:snapToGrid/>
          <w:kern w:val="2"/>
          <w:sz w:val="21"/>
          <w:szCs w:val="21"/>
          <w:vertAlign w:val="subscript"/>
          <w:lang w:eastAsia="zh-CN"/>
        </w:rPr>
        <w:t>17</w:t>
      </w:r>
      <w:r>
        <w:rPr>
          <w:rFonts w:hint="eastAsia" w:ascii="仿宋_GB2312" w:hAnsi="仿宋_GB2312" w:eastAsia="仿宋_GB2312" w:cs="仿宋_GB2312"/>
          <w:snapToGrid/>
          <w:kern w:val="2"/>
          <w:sz w:val="21"/>
          <w:szCs w:val="21"/>
          <w:lang w:eastAsia="zh-CN"/>
        </w:rPr>
        <w:t>-X，其中 X= F，Cl，Br；(ii)CF</w:t>
      </w:r>
      <w:r>
        <w:rPr>
          <w:rFonts w:hint="eastAsia" w:ascii="仿宋_GB2312" w:hAnsi="仿宋_GB2312" w:eastAsia="仿宋_GB2312" w:cs="仿宋_GB2312"/>
          <w:snapToGrid/>
          <w:kern w:val="2"/>
          <w:sz w:val="21"/>
          <w:szCs w:val="21"/>
          <w:vertAlign w:val="subscript"/>
          <w:lang w:eastAsia="zh-CN"/>
        </w:rPr>
        <w:t>3</w:t>
      </w:r>
      <w:r>
        <w:rPr>
          <w:rFonts w:hint="eastAsia" w:ascii="仿宋_GB2312" w:hAnsi="仿宋_GB2312" w:eastAsia="仿宋_GB2312" w:cs="仿宋_GB2312"/>
          <w:snapToGrid/>
          <w:kern w:val="2"/>
          <w:sz w:val="21"/>
          <w:szCs w:val="21"/>
          <w:lang w:eastAsia="zh-CN"/>
        </w:rPr>
        <w:t>[CF</w:t>
      </w:r>
      <w:r>
        <w:rPr>
          <w:rFonts w:hint="eastAsia" w:ascii="仿宋_GB2312" w:hAnsi="仿宋_GB2312" w:eastAsia="仿宋_GB2312" w:cs="仿宋_GB2312"/>
          <w:snapToGrid/>
          <w:kern w:val="2"/>
          <w:sz w:val="21"/>
          <w:szCs w:val="21"/>
          <w:vertAlign w:val="subscript"/>
          <w:lang w:eastAsia="zh-CN"/>
        </w:rPr>
        <w:t>2</w:t>
      </w:r>
      <w:r>
        <w:rPr>
          <w:rFonts w:hint="eastAsia" w:ascii="仿宋_GB2312" w:hAnsi="仿宋_GB2312" w:eastAsia="仿宋_GB2312" w:cs="仿宋_GB2312"/>
          <w:snapToGrid/>
          <w:kern w:val="2"/>
          <w:sz w:val="21"/>
          <w:szCs w:val="21"/>
          <w:lang w:eastAsia="zh-CN"/>
        </w:rPr>
        <w:t>]n-R’涵盖的含氟聚合物，其中R’=任何基团，n&gt;16；(iii)具有≥8 个全氟化碳原子的全氟烷基羧酸和膦酸（包括其盐类、脂类、卤化物和酸酐）；(iv)具有≥9 个全氟化碳原子的全氟烷烃磺酸（包括其盐类、脂类、卤化物和酸酐）；(v)全氟辛基磺酸及其盐类和全氟辛基磺酰氟。</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ind w:leftChars="0" w:firstLine="420" w:firstLineChars="200"/>
        <w:jc w:val="both"/>
        <w:textAlignment w:val="auto"/>
        <w:rPr>
          <w:rFonts w:hint="eastAsia" w:ascii="仿宋_GB2312" w:hAnsi="仿宋_GB2312" w:eastAsia="仿宋_GB2312" w:cs="仿宋_GB2312"/>
          <w:snapToGrid/>
          <w:kern w:val="2"/>
          <w:sz w:val="21"/>
          <w:szCs w:val="21"/>
          <w:lang w:eastAsia="zh-CN"/>
        </w:rPr>
      </w:pPr>
      <w:r>
        <w:rPr>
          <w:rFonts w:hint="eastAsia" w:ascii="仿宋_GB2312" w:hAnsi="仿宋_GB2312" w:eastAsia="仿宋_GB2312" w:cs="仿宋_GB2312"/>
          <w:snapToGrid/>
          <w:kern w:val="2"/>
          <w:sz w:val="21"/>
          <w:szCs w:val="21"/>
          <w:lang w:val="en-US" w:eastAsia="zh-CN"/>
        </w:rPr>
        <w:t>2.</w:t>
      </w:r>
      <w:r>
        <w:rPr>
          <w:rFonts w:hint="eastAsia" w:ascii="仿宋_GB2312" w:hAnsi="仿宋_GB2312" w:eastAsia="仿宋_GB2312" w:cs="仿宋_GB2312"/>
          <w:snapToGrid/>
          <w:kern w:val="2"/>
          <w:sz w:val="21"/>
          <w:szCs w:val="21"/>
          <w:lang w:eastAsia="zh-CN"/>
        </w:rPr>
        <w:t>短链氯化石蜡是指链长 C</w:t>
      </w:r>
      <w:r>
        <w:rPr>
          <w:rFonts w:hint="eastAsia" w:ascii="仿宋_GB2312" w:hAnsi="仿宋_GB2312" w:eastAsia="仿宋_GB2312" w:cs="仿宋_GB2312"/>
          <w:snapToGrid/>
          <w:kern w:val="2"/>
          <w:sz w:val="21"/>
          <w:szCs w:val="21"/>
          <w:vertAlign w:val="subscript"/>
          <w:lang w:eastAsia="zh-CN"/>
        </w:rPr>
        <w:t>10</w:t>
      </w:r>
      <w:r>
        <w:rPr>
          <w:rFonts w:hint="eastAsia" w:ascii="仿宋_GB2312" w:hAnsi="仿宋_GB2312" w:eastAsia="仿宋_GB2312" w:cs="仿宋_GB2312"/>
          <w:snapToGrid/>
          <w:kern w:val="2"/>
          <w:sz w:val="21"/>
          <w:szCs w:val="21"/>
          <w:lang w:eastAsia="zh-CN"/>
        </w:rPr>
        <w:t>至C</w:t>
      </w:r>
      <w:r>
        <w:rPr>
          <w:rFonts w:hint="eastAsia" w:ascii="仿宋_GB2312" w:hAnsi="仿宋_GB2312" w:eastAsia="仿宋_GB2312" w:cs="仿宋_GB2312"/>
          <w:snapToGrid/>
          <w:kern w:val="2"/>
          <w:sz w:val="21"/>
          <w:szCs w:val="21"/>
          <w:vertAlign w:val="subscript"/>
          <w:lang w:eastAsia="zh-CN"/>
        </w:rPr>
        <w:t>13</w:t>
      </w:r>
      <w:r>
        <w:rPr>
          <w:rFonts w:hint="eastAsia" w:ascii="仿宋_GB2312" w:hAnsi="仿宋_GB2312" w:eastAsia="仿宋_GB2312" w:cs="仿宋_GB2312"/>
          <w:snapToGrid/>
          <w:kern w:val="2"/>
          <w:sz w:val="21"/>
          <w:szCs w:val="21"/>
          <w:lang w:eastAsia="zh-CN"/>
        </w:rPr>
        <w:t>的直链氯化碳氢化合物，且氯含量按重量计超过48%，其在混合物中的浓度按重量计大于或等于1%。</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ind w:leftChars="0" w:firstLine="420" w:firstLineChars="200"/>
        <w:jc w:val="both"/>
        <w:textAlignment w:val="auto"/>
        <w:rPr>
          <w:rFonts w:hint="eastAsia" w:ascii="仿宋_GB2312" w:hAnsi="仿宋_GB2312" w:eastAsia="仿宋_GB2312" w:cs="仿宋_GB2312"/>
          <w:snapToGrid/>
          <w:kern w:val="2"/>
          <w:sz w:val="21"/>
          <w:szCs w:val="21"/>
          <w:lang w:eastAsia="zh-CN"/>
        </w:rPr>
      </w:pPr>
      <w:r>
        <w:rPr>
          <w:rFonts w:hint="eastAsia" w:ascii="仿宋_GB2312" w:hAnsi="仿宋_GB2312" w:eastAsia="仿宋_GB2312" w:cs="仿宋_GB2312"/>
          <w:snapToGrid/>
          <w:kern w:val="2"/>
          <w:sz w:val="21"/>
          <w:szCs w:val="21"/>
          <w:lang w:val="en-US" w:eastAsia="zh-CN"/>
        </w:rPr>
        <w:t>3.</w:t>
      </w:r>
      <w:r>
        <w:rPr>
          <w:rFonts w:hint="eastAsia" w:ascii="仿宋_GB2312" w:hAnsi="仿宋_GB2312" w:eastAsia="仿宋_GB2312" w:cs="仿宋_GB2312"/>
          <w:snapToGrid/>
          <w:kern w:val="2"/>
          <w:sz w:val="21"/>
          <w:szCs w:val="21"/>
          <w:lang w:eastAsia="zh-CN"/>
        </w:rPr>
        <w:t>PFHxS 类是指：(i)全氟己基磺酸（355-46-4），包括支链异构体；(ii)全氟己基磺酸盐类；(iii)全氟己基磺酸相关化合物，是结构成分中含有C</w:t>
      </w:r>
      <w:r>
        <w:rPr>
          <w:rFonts w:hint="eastAsia" w:ascii="仿宋_GB2312" w:hAnsi="仿宋_GB2312" w:eastAsia="仿宋_GB2312" w:cs="仿宋_GB2312"/>
          <w:snapToGrid/>
          <w:kern w:val="2"/>
          <w:sz w:val="21"/>
          <w:szCs w:val="21"/>
          <w:vertAlign w:val="subscript"/>
          <w:lang w:eastAsia="zh-CN"/>
        </w:rPr>
        <w:t>6</w:t>
      </w:r>
      <w:r>
        <w:rPr>
          <w:rFonts w:hint="eastAsia" w:ascii="仿宋_GB2312" w:hAnsi="仿宋_GB2312" w:eastAsia="仿宋_GB2312" w:cs="仿宋_GB2312"/>
          <w:snapToGrid/>
          <w:kern w:val="2"/>
          <w:sz w:val="21"/>
          <w:szCs w:val="21"/>
          <w:lang w:eastAsia="zh-CN"/>
        </w:rPr>
        <w:t>F</w:t>
      </w:r>
      <w:r>
        <w:rPr>
          <w:rFonts w:hint="eastAsia" w:ascii="仿宋_GB2312" w:hAnsi="仿宋_GB2312" w:eastAsia="仿宋_GB2312" w:cs="仿宋_GB2312"/>
          <w:snapToGrid/>
          <w:kern w:val="2"/>
          <w:sz w:val="21"/>
          <w:szCs w:val="21"/>
          <w:vertAlign w:val="subscript"/>
          <w:lang w:eastAsia="zh-CN"/>
        </w:rPr>
        <w:t>13</w:t>
      </w:r>
      <w:r>
        <w:rPr>
          <w:rFonts w:hint="eastAsia" w:ascii="仿宋_GB2312" w:hAnsi="仿宋_GB2312" w:eastAsia="仿宋_GB2312" w:cs="仿宋_GB2312"/>
          <w:snapToGrid/>
          <w:kern w:val="2"/>
          <w:sz w:val="21"/>
          <w:szCs w:val="21"/>
          <w:lang w:eastAsia="zh-CN"/>
        </w:rPr>
        <w:t>SO</w:t>
      </w:r>
      <w:r>
        <w:rPr>
          <w:rFonts w:hint="eastAsia" w:ascii="仿宋_GB2312" w:hAnsi="仿宋_GB2312" w:eastAsia="仿宋_GB2312" w:cs="仿宋_GB2312"/>
          <w:snapToGrid/>
          <w:kern w:val="2"/>
          <w:sz w:val="21"/>
          <w:szCs w:val="21"/>
          <w:vertAlign w:val="subscript"/>
          <w:lang w:eastAsia="zh-CN"/>
        </w:rPr>
        <w:t>2</w:t>
      </w:r>
      <w:r>
        <w:rPr>
          <w:rFonts w:hint="eastAsia" w:ascii="仿宋_GB2312" w:hAnsi="仿宋_GB2312" w:eastAsia="仿宋_GB2312" w:cs="仿宋_GB2312"/>
          <w:snapToGrid/>
          <w:kern w:val="2"/>
          <w:sz w:val="21"/>
          <w:szCs w:val="21"/>
          <w:lang w:eastAsia="zh-CN"/>
        </w:rPr>
        <w:t>-且可能降解为全氟己基磺酸的任何物质。</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ind w:leftChars="0" w:firstLine="420" w:firstLineChars="200"/>
        <w:jc w:val="both"/>
        <w:textAlignment w:val="auto"/>
        <w:rPr>
          <w:rFonts w:hint="eastAsia" w:ascii="仿宋_GB2312" w:hAnsi="仿宋_GB2312" w:eastAsia="仿宋_GB2312" w:cs="仿宋_GB2312"/>
          <w:snapToGrid/>
          <w:kern w:val="2"/>
          <w:sz w:val="21"/>
          <w:szCs w:val="21"/>
          <w:lang w:eastAsia="zh-CN"/>
        </w:rPr>
      </w:pPr>
      <w:r>
        <w:rPr>
          <w:rFonts w:hint="eastAsia" w:ascii="仿宋_GB2312" w:hAnsi="仿宋_GB2312" w:eastAsia="仿宋_GB2312" w:cs="仿宋_GB2312"/>
          <w:snapToGrid/>
          <w:kern w:val="2"/>
          <w:sz w:val="21"/>
          <w:szCs w:val="21"/>
          <w:lang w:val="en-US" w:eastAsia="zh-CN"/>
        </w:rPr>
        <w:t>4.</w:t>
      </w:r>
      <w:r>
        <w:rPr>
          <w:rFonts w:hint="eastAsia" w:ascii="仿宋_GB2312" w:hAnsi="仿宋_GB2312" w:eastAsia="仿宋_GB2312" w:cs="仿宋_GB2312"/>
          <w:snapToGrid/>
          <w:kern w:val="2"/>
          <w:sz w:val="21"/>
          <w:szCs w:val="21"/>
          <w:lang w:eastAsia="zh-CN"/>
        </w:rPr>
        <w:t>已淘汰类新污染物的定义范围与《关于持久性有机污染物的斯德哥尔摩公约》中相应化学物质的定义范围一致。</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ind w:leftChars="0" w:firstLine="420" w:firstLineChars="200"/>
        <w:jc w:val="both"/>
        <w:textAlignment w:val="auto"/>
        <w:rPr>
          <w:rFonts w:hint="eastAsia" w:ascii="仿宋_GB2312" w:hAnsi="仿宋_GB2312" w:eastAsia="仿宋_GB2312" w:cs="仿宋_GB2312"/>
          <w:snapToGrid/>
          <w:kern w:val="2"/>
          <w:sz w:val="21"/>
          <w:szCs w:val="21"/>
          <w:lang w:eastAsia="zh-CN"/>
        </w:rPr>
      </w:pPr>
      <w:r>
        <w:rPr>
          <w:rFonts w:hint="eastAsia" w:ascii="仿宋_GB2312" w:hAnsi="仿宋_GB2312" w:eastAsia="仿宋_GB2312" w:cs="仿宋_GB2312"/>
          <w:snapToGrid/>
          <w:kern w:val="2"/>
          <w:sz w:val="21"/>
          <w:szCs w:val="21"/>
          <w:lang w:val="en-US" w:eastAsia="zh-CN"/>
        </w:rPr>
        <w:t>5.</w:t>
      </w:r>
      <w:r>
        <w:rPr>
          <w:rFonts w:hint="eastAsia" w:ascii="仿宋_GB2312" w:hAnsi="仿宋_GB2312" w:eastAsia="仿宋_GB2312" w:cs="仿宋_GB2312"/>
          <w:snapToGrid/>
          <w:kern w:val="2"/>
          <w:sz w:val="21"/>
          <w:szCs w:val="21"/>
          <w:lang w:eastAsia="zh-CN"/>
        </w:rPr>
        <w:t>CAS 号，即化学文摘社（Chemical Abstracts Service，缩写为CAS）登记号。</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ind w:leftChars="0" w:firstLine="420" w:firstLineChars="200"/>
        <w:jc w:val="both"/>
        <w:textAlignment w:val="auto"/>
        <w:rPr>
          <w:rFonts w:hint="eastAsia" w:ascii="仿宋_GB2312" w:hAnsi="仿宋_GB2312" w:eastAsia="仿宋_GB2312" w:cs="仿宋_GB2312"/>
          <w:snapToGrid/>
          <w:kern w:val="2"/>
          <w:sz w:val="21"/>
          <w:szCs w:val="21"/>
          <w:lang w:eastAsia="zh-CN"/>
        </w:rPr>
      </w:pPr>
      <w:r>
        <w:rPr>
          <w:rFonts w:hint="eastAsia" w:ascii="仿宋_GB2312" w:hAnsi="仿宋_GB2312" w:eastAsia="仿宋_GB2312" w:cs="仿宋_GB2312"/>
          <w:snapToGrid/>
          <w:kern w:val="2"/>
          <w:sz w:val="21"/>
          <w:szCs w:val="21"/>
          <w:lang w:val="en-US" w:eastAsia="zh-CN"/>
        </w:rPr>
        <w:t>6.</w:t>
      </w:r>
      <w:r>
        <w:rPr>
          <w:rFonts w:hint="eastAsia" w:ascii="仿宋_GB2312" w:hAnsi="仿宋_GB2312" w:eastAsia="仿宋_GB2312" w:cs="仿宋_GB2312"/>
          <w:snapToGrid/>
          <w:kern w:val="2"/>
          <w:sz w:val="21"/>
          <w:szCs w:val="21"/>
          <w:lang w:eastAsia="zh-CN"/>
        </w:rPr>
        <w:t>用于实验室规模的研究或用作参照标准的化学物质不适用于上述有关禁止或限制生产、加工使用或进出口的要求。除非另有规定，在产品和物品中作为无意痕量污染物出现的化学物质不适用于本清单。</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ind w:leftChars="0" w:firstLine="420" w:firstLineChars="200"/>
        <w:jc w:val="both"/>
        <w:textAlignment w:val="auto"/>
        <w:rPr>
          <w:rFonts w:hint="eastAsia" w:ascii="仿宋_GB2312" w:hAnsi="仿宋_GB2312" w:eastAsia="仿宋_GB2312" w:cs="仿宋_GB2312"/>
          <w:snapToGrid/>
          <w:kern w:val="2"/>
          <w:sz w:val="21"/>
          <w:szCs w:val="21"/>
          <w:lang w:eastAsia="zh-CN"/>
        </w:rPr>
      </w:pPr>
      <w:r>
        <w:rPr>
          <w:rFonts w:hint="eastAsia" w:ascii="仿宋_GB2312" w:hAnsi="仿宋_GB2312" w:eastAsia="仿宋_GB2312" w:cs="仿宋_GB2312"/>
          <w:snapToGrid/>
          <w:kern w:val="2"/>
          <w:sz w:val="21"/>
          <w:szCs w:val="21"/>
          <w:lang w:val="en-US" w:eastAsia="zh-CN"/>
        </w:rPr>
        <w:t>7.</w:t>
      </w:r>
      <w:r>
        <w:rPr>
          <w:rFonts w:hint="eastAsia" w:ascii="仿宋_GB2312" w:hAnsi="仿宋_GB2312" w:eastAsia="仿宋_GB2312" w:cs="仿宋_GB2312"/>
          <w:snapToGrid/>
          <w:kern w:val="2"/>
          <w:sz w:val="21"/>
          <w:szCs w:val="21"/>
          <w:lang w:eastAsia="zh-CN"/>
        </w:rPr>
        <w:t>未标注期限的条目为国家已明令执行或立即执行。上述主要环境风险管控措施中未作规定、但国家另有其他要求的，从其规定。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jc w:val="both"/>
        <w:textAlignment w:val="auto"/>
        <w:rPr>
          <w:rFonts w:hint="eastAsia" w:ascii="仿宋_GB2312" w:hAnsi="仿宋_GB2312" w:eastAsia="仿宋_GB2312" w:cs="仿宋_GB2312"/>
          <w:snapToGrid/>
          <w:kern w:val="2"/>
          <w:sz w:val="21"/>
          <w:szCs w:val="21"/>
          <w:lang w:eastAsia="zh-CN"/>
        </w:rPr>
      </w:pPr>
      <w:r>
        <w:rPr>
          <w:rFonts w:hint="eastAsia" w:ascii="仿宋_GB2312" w:hAnsi="仿宋_GB2312" w:eastAsia="仿宋_GB2312" w:cs="仿宋_GB2312"/>
          <w:snapToGrid/>
          <w:kern w:val="2"/>
          <w:sz w:val="21"/>
          <w:szCs w:val="21"/>
          <w:lang w:val="en-US" w:eastAsia="zh-CN"/>
        </w:rPr>
        <w:t>8.</w:t>
      </w:r>
      <w:r>
        <w:rPr>
          <w:rFonts w:hint="eastAsia" w:ascii="仿宋_GB2312" w:hAnsi="仿宋_GB2312" w:eastAsia="仿宋_GB2312" w:cs="仿宋_GB2312"/>
          <w:snapToGrid/>
          <w:kern w:val="2"/>
          <w:sz w:val="21"/>
          <w:szCs w:val="21"/>
          <w:lang w:eastAsia="zh-CN"/>
        </w:rPr>
        <w:t>加工使用是指利用化学物质进行的生产经营等活动，不包括贸易、仓储、运输等活动和使用含化学物质的物品的活动。</w:t>
      </w:r>
    </w:p>
    <w:p>
      <w:pPr>
        <w:rPr>
          <w:rFonts w:hint="default"/>
          <w:lang w:val="en-US" w:eastAsia="zh-CN"/>
        </w:rPr>
      </w:pPr>
    </w:p>
    <w:p/>
    <w:p/>
    <w:sectPr>
      <w:footerReference r:id="rId5" w:type="default"/>
      <w:pgSz w:w="16838" w:h="11906" w:orient="landscape"/>
      <w:pgMar w:top="1800" w:right="1440" w:bottom="1800" w:left="144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FF850D"/>
    <w:rsid w:val="02F41B26"/>
    <w:rsid w:val="485E3370"/>
    <w:rsid w:val="7BFF8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600" w:lineRule="exact"/>
      <w:ind w:firstLine="880" w:firstLineChars="200"/>
      <w:jc w:val="both"/>
      <w:textAlignment w:val="baseline"/>
    </w:pPr>
    <w:rPr>
      <w:rFonts w:ascii="仿宋_GB2312" w:hAnsi="仿宋_GB2312" w:eastAsia="仿宋_GB2312" w:cs="Arial"/>
      <w:snapToGrid w:val="0"/>
      <w:color w:val="000000"/>
      <w:kern w:val="0"/>
      <w:sz w:val="32"/>
      <w:szCs w:val="21"/>
      <w:lang w:val="en-US" w:eastAsia="en-US"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next w:val="1"/>
    <w:qFormat/>
    <w:uiPriority w:val="0"/>
    <w:pPr>
      <w:widowControl w:val="0"/>
      <w:jc w:val="both"/>
    </w:pPr>
    <w:rPr>
      <w:rFonts w:asciiTheme="minorHAnsi" w:hAnsiTheme="minorHAnsi" w:eastAsiaTheme="minorEastAsia" w:cstheme="minorBidi"/>
      <w:kern w:val="2"/>
      <w:sz w:val="32"/>
      <w:szCs w:val="24"/>
      <w:lang w:val="en-US" w:eastAsia="zh-CN" w:bidi="ar-SA"/>
    </w:rPr>
  </w:style>
  <w:style w:type="paragraph" w:styleId="3">
    <w:name w:val="footer"/>
    <w:qFormat/>
    <w:uiPriority w:val="0"/>
    <w:pPr>
      <w:widowControl w:val="0"/>
      <w:tabs>
        <w:tab w:val="center" w:pos="4153"/>
        <w:tab w:val="right" w:pos="8306"/>
      </w:tabs>
      <w:snapToGrid w:val="0"/>
      <w:jc w:val="left"/>
    </w:pPr>
    <w:rPr>
      <w:rFonts w:ascii="Times New Roman" w:hAnsi="Times New Roman" w:eastAsia="仿宋_GB2312" w:cstheme="minorBidi"/>
      <w:kern w:val="2"/>
      <w:sz w:val="28"/>
      <w:szCs w:val="24"/>
      <w:lang w:val="en-US" w:eastAsia="zh-CN" w:bidi="ar-SA"/>
    </w:rPr>
  </w:style>
  <w:style w:type="table" w:styleId="5">
    <w:name w:val="Table Grid"/>
    <w:qFormat/>
    <w:uiPriority w:val="0"/>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Mar>
        <w:left w:w="28" w:type="dxa"/>
        <w:right w:w="28" w:type="dxa"/>
      </w:tcMar>
      <w:vAlign w:val="center"/>
    </w:tc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2025-08-05T11:02:00Z</dcterms:created>
  <dc:creator>yinlinwan</dc:creator>
  <cp:lastModifiedBy>qixiujuan</cp:lastModifiedBy>
  <dcterms:modified xsi:type="dcterms:W3CDTF">2025-08-08T08:58:24Z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CD29303C8B254EA5AFC61868B9720AF7</vt:lpwstr>
  </property>
</Properties>
</file>