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4ECD8">
      <w:pPr>
        <w:jc w:val="center"/>
        <w:rPr>
          <w:rFonts w:hint="eastAsia" w:ascii="宋体" w:hAnsi="宋体"/>
          <w:b/>
          <w:spacing w:val="60"/>
          <w:sz w:val="28"/>
          <w:szCs w:val="28"/>
        </w:rPr>
      </w:pPr>
      <w:bookmarkStart w:id="25" w:name="_GoBack"/>
      <w:bookmarkEnd w:id="25"/>
      <w:bookmarkStart w:id="0" w:name="_Hlk213150048"/>
    </w:p>
    <w:p w14:paraId="009EC243">
      <w:pPr>
        <w:spacing w:before="163" w:after="163"/>
        <w:ind w:firstLine="560"/>
        <w:rPr>
          <w:sz w:val="28"/>
          <w:szCs w:val="28"/>
        </w:rPr>
      </w:pPr>
    </w:p>
    <w:p w14:paraId="658F22C3">
      <w:pPr>
        <w:spacing w:before="163" w:after="163"/>
        <w:ind w:firstLine="560"/>
        <w:rPr>
          <w:sz w:val="28"/>
          <w:szCs w:val="28"/>
        </w:rPr>
      </w:pPr>
    </w:p>
    <w:p w14:paraId="3F356E70">
      <w:pPr>
        <w:spacing w:after="326" w:afterLines="100"/>
        <w:jc w:val="center"/>
        <w:outlineLvl w:val="0"/>
        <w:rPr>
          <w:rFonts w:hint="eastAsia" w:ascii="黑体" w:hAnsi="黑体" w:eastAsia="黑体" w:cs="黑体"/>
          <w:b/>
          <w:bCs/>
          <w:sz w:val="48"/>
          <w:szCs w:val="48"/>
        </w:rPr>
      </w:pPr>
      <w:bookmarkStart w:id="1" w:name="_Toc21842"/>
      <w:bookmarkStart w:id="2" w:name="_Toc23907"/>
      <w:r>
        <w:rPr>
          <w:rFonts w:hint="eastAsia" w:ascii="黑体" w:hAnsi="黑体" w:eastAsia="黑体" w:cs="黑体"/>
          <w:b/>
          <w:bCs/>
          <w:sz w:val="52"/>
          <w:szCs w:val="52"/>
        </w:rPr>
        <w:t>深圳市居民低碳用电碳普惠方法学编制说明</w:t>
      </w:r>
      <w:bookmarkEnd w:id="1"/>
      <w:bookmarkEnd w:id="2"/>
    </w:p>
    <w:p w14:paraId="7FDA96E0">
      <w:pPr>
        <w:spacing w:after="326" w:afterLines="100"/>
        <w:jc w:val="center"/>
        <w:outlineLvl w:val="0"/>
        <w:rPr>
          <w:rFonts w:hint="eastAsia" w:ascii="黑体" w:hAnsi="黑体" w:eastAsia="黑体" w:cs="黑体"/>
          <w:b/>
          <w:bCs/>
        </w:rPr>
      </w:pPr>
      <w:bookmarkStart w:id="3" w:name="_Toc22971"/>
      <w:bookmarkStart w:id="4" w:name="_Toc21558"/>
      <w:r>
        <w:rPr>
          <w:rFonts w:hint="eastAsia" w:ascii="黑体" w:hAnsi="黑体" w:eastAsia="黑体" w:cs="黑体"/>
          <w:b/>
          <w:bCs/>
        </w:rPr>
        <w:t>（</w:t>
      </w:r>
      <w:r>
        <w:rPr>
          <w:rFonts w:hint="eastAsia" w:ascii="黑体" w:hAnsi="黑体" w:eastAsia="黑体" w:cs="黑体"/>
          <w:b/>
          <w:bCs/>
          <w:lang w:val="en-US" w:eastAsia="zh-CN"/>
        </w:rPr>
        <w:t>征求意见</w:t>
      </w:r>
      <w:r>
        <w:rPr>
          <w:rFonts w:hint="eastAsia" w:ascii="黑体" w:hAnsi="黑体" w:eastAsia="黑体" w:cs="黑体"/>
          <w:b/>
          <w:bCs/>
        </w:rPr>
        <w:t>稿）</w:t>
      </w:r>
      <w:bookmarkEnd w:id="3"/>
      <w:bookmarkEnd w:id="4"/>
    </w:p>
    <w:p w14:paraId="7FDB078E">
      <w:pPr>
        <w:adjustRightInd w:val="0"/>
        <w:snapToGrid w:val="0"/>
        <w:jc w:val="center"/>
        <w:rPr>
          <w:sz w:val="28"/>
          <w:szCs w:val="28"/>
        </w:rPr>
      </w:pPr>
    </w:p>
    <w:p w14:paraId="10BDE047">
      <w:pPr>
        <w:jc w:val="center"/>
        <w:rPr>
          <w:rFonts w:hint="eastAsia" w:ascii="宋体" w:hAnsi="宋体"/>
          <w:sz w:val="28"/>
          <w:szCs w:val="28"/>
        </w:rPr>
      </w:pPr>
    </w:p>
    <w:p w14:paraId="5F51C9D9">
      <w:pPr>
        <w:jc w:val="center"/>
        <w:rPr>
          <w:rFonts w:hint="eastAsia" w:ascii="宋体" w:hAnsi="宋体"/>
          <w:sz w:val="28"/>
          <w:szCs w:val="28"/>
        </w:rPr>
      </w:pPr>
    </w:p>
    <w:p w14:paraId="5FB983AA">
      <w:pPr>
        <w:jc w:val="center"/>
        <w:rPr>
          <w:rFonts w:hint="eastAsia" w:ascii="宋体" w:hAnsi="宋体"/>
          <w:sz w:val="28"/>
          <w:szCs w:val="28"/>
        </w:rPr>
      </w:pPr>
    </w:p>
    <w:p w14:paraId="6AFCF7EF">
      <w:pPr>
        <w:jc w:val="center"/>
        <w:rPr>
          <w:rFonts w:hint="eastAsia" w:ascii="宋体" w:hAnsi="宋体"/>
          <w:sz w:val="28"/>
          <w:szCs w:val="28"/>
        </w:rPr>
      </w:pPr>
    </w:p>
    <w:p w14:paraId="05C06A3D">
      <w:pPr>
        <w:jc w:val="center"/>
        <w:rPr>
          <w:rFonts w:hint="eastAsia" w:ascii="宋体" w:hAnsi="宋体"/>
          <w:sz w:val="28"/>
          <w:szCs w:val="28"/>
        </w:rPr>
      </w:pPr>
    </w:p>
    <w:p w14:paraId="41B8548A">
      <w:pPr>
        <w:adjustRightInd w:val="0"/>
        <w:snapToGrid w:val="0"/>
        <w:jc w:val="center"/>
        <w:rPr>
          <w:rFonts w:hint="eastAsia" w:ascii="宋体" w:hAnsi="宋体"/>
          <w:b/>
          <w:bCs/>
          <w:sz w:val="28"/>
          <w:szCs w:val="28"/>
        </w:rPr>
      </w:pPr>
    </w:p>
    <w:p w14:paraId="57901CAE">
      <w:pPr>
        <w:adjustRightInd w:val="0"/>
        <w:snapToGrid w:val="0"/>
        <w:jc w:val="center"/>
        <w:rPr>
          <w:rFonts w:hint="eastAsia" w:ascii="宋体" w:hAnsi="宋体"/>
          <w:b/>
          <w:bCs/>
          <w:sz w:val="28"/>
          <w:szCs w:val="28"/>
        </w:rPr>
      </w:pPr>
    </w:p>
    <w:p w14:paraId="64976781">
      <w:pPr>
        <w:spacing w:line="360" w:lineRule="auto"/>
        <w:jc w:val="center"/>
        <w:rPr>
          <w:rFonts w:hint="eastAsia" w:ascii="黑体" w:hAnsi="黑体" w:eastAsia="黑体"/>
          <w:b/>
          <w:bCs/>
          <w:sz w:val="28"/>
          <w:szCs w:val="28"/>
        </w:rPr>
      </w:pPr>
    </w:p>
    <w:p w14:paraId="49E205FF">
      <w:pPr>
        <w:spacing w:line="360" w:lineRule="auto"/>
        <w:jc w:val="center"/>
        <w:rPr>
          <w:rFonts w:hint="eastAsia" w:ascii="黑体" w:hAnsi="黑体" w:eastAsia="黑体"/>
          <w:b/>
          <w:bCs/>
          <w:sz w:val="28"/>
          <w:szCs w:val="28"/>
        </w:rPr>
      </w:pPr>
    </w:p>
    <w:p w14:paraId="7F0CDCAD">
      <w:pPr>
        <w:spacing w:before="163" w:after="163"/>
        <w:jc w:val="center"/>
        <w:rPr>
          <w:rFonts w:hint="eastAsia" w:ascii="宋体" w:hAnsi="宋体" w:eastAsia="黑体"/>
          <w:sz w:val="28"/>
          <w:szCs w:val="28"/>
        </w:rPr>
        <w:sectPr>
          <w:headerReference r:id="rId3" w:type="default"/>
          <w:footerReference r:id="rId4" w:type="default"/>
          <w:footerReference r:id="rId5" w:type="even"/>
          <w:pgSz w:w="11906" w:h="16838"/>
          <w:pgMar w:top="1440" w:right="1800" w:bottom="1440" w:left="1800" w:header="1417" w:footer="1134" w:gutter="0"/>
          <w:cols w:space="720" w:num="1"/>
          <w:docGrid w:type="lines" w:linePitch="326" w:charSpace="0"/>
        </w:sectPr>
      </w:pPr>
      <w:r>
        <w:rPr>
          <w:rFonts w:hint="eastAsia" w:ascii="黑体" w:hAnsi="黑体" w:eastAsia="黑体" w:cs="黑体"/>
        </w:rPr>
        <w:t>二零二五年十一月</w:t>
      </w:r>
    </w:p>
    <w:p w14:paraId="2B7ADF45">
      <w:pPr>
        <w:pStyle w:val="2"/>
        <w:numPr>
          <w:ilvl w:val="0"/>
          <w:numId w:val="2"/>
        </w:numPr>
        <w:tabs>
          <w:tab w:val="left" w:pos="360"/>
        </w:tabs>
        <w:spacing w:before="0" w:after="0" w:line="360" w:lineRule="auto"/>
        <w:ind w:left="0" w:firstLine="602" w:firstLineChars="200"/>
        <w:jc w:val="left"/>
        <w:rPr>
          <w:sz w:val="30"/>
        </w:rPr>
      </w:pPr>
      <w:bookmarkStart w:id="5" w:name="_Toc1690"/>
      <w:bookmarkStart w:id="6" w:name="_Toc26884"/>
      <w:bookmarkStart w:id="7" w:name="_Toc29682"/>
      <w:bookmarkStart w:id="8" w:name="_Toc6346"/>
      <w:bookmarkStart w:id="9" w:name="_Toc88473800"/>
      <w:bookmarkStart w:id="10" w:name="_Toc63435835"/>
      <w:r>
        <w:rPr>
          <w:rFonts w:hint="eastAsia"/>
          <w:sz w:val="30"/>
        </w:rPr>
        <w:t>编制背景</w:t>
      </w:r>
      <w:bookmarkEnd w:id="5"/>
      <w:bookmarkEnd w:id="6"/>
    </w:p>
    <w:bookmarkEnd w:id="7"/>
    <w:bookmarkEnd w:id="8"/>
    <w:bookmarkEnd w:id="9"/>
    <w:bookmarkEnd w:id="10"/>
    <w:p w14:paraId="23D42ED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2020年9月22日，习近平总书记在第七十五届联合国大会一般性辩论的讲话中正式提出了“中国二氧化碳排放力争于2030年前达到峰值，努力争取2060年前实现碳中和”。自此，碳达峰、碳中和成为国家重要战略目标，随着配套政策的陆续发布，覆盖范围也逐渐从重点排放企业层面扩展到居民消费层面，进而推动社会公众形成绿色低碳生产生活方式。</w:t>
      </w:r>
    </w:p>
    <w:p w14:paraId="1E14A5C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2021年2月22日，国务院《关于加快建立健全绿色低碳循环发展经济体系的指导意见》提出“到2025年，生产生活方式绿色转型显著提升，到2035年，广泛形成绿色生产生活方式”的主要目标，“倡导绿色低碳生活方式”的重点任务。2021年9月22日，中共中央 国务院《关于完整准确全面贯彻新发展理念做好碳达峰碳中和工作的意见》提出“加快形成节约资源和保护环境的生产方式、生活方式” 的指导思想，“倡导简约适度、绿色低碳生活方式”的工作原则，“加快形成绿色生产生活方式，倡导绿色低碳生活方式，开展绿色低碳社会行动示范创建，加快形成全民参与的良好格局”的绿色转型要求。2021年10月24日，中共中央 国务院关于《2030年前碳达峰行动方案》提出“‘十四五’期间，绿色生产生活方式得到普遍推行”的工作目标，以及“增强社会公众绿色低碳意识”“推广绿色低碳生活方式，大力发展绿色消费，推广绿色低碳产品”的行动要求。2022年3月22日，国家发改委、国家能源局《“十四五”现代能源体系规划》提出“实施绿色低碳全民行动。在全社会倡导节约用能，增强全民节约意识、环保意识、生态意识，引导形成简约适度、绿色低碳的生活方式，坚决遏制不合理能源消费；完善节能家电、高效照明产品等推广机制，以京津冀、长三角、粤港澳等区域为重点，鼓励建立家庭用能智慧化管理系统”。</w:t>
      </w:r>
    </w:p>
    <w:p w14:paraId="19277578">
      <w:pPr>
        <w:pStyle w:val="2"/>
        <w:numPr>
          <w:ilvl w:val="0"/>
          <w:numId w:val="2"/>
        </w:numPr>
        <w:tabs>
          <w:tab w:val="left" w:pos="360"/>
        </w:tabs>
        <w:spacing w:before="0" w:after="0" w:line="360" w:lineRule="auto"/>
        <w:ind w:left="0" w:firstLine="602" w:firstLineChars="200"/>
        <w:jc w:val="left"/>
        <w:rPr>
          <w:sz w:val="30"/>
        </w:rPr>
      </w:pPr>
      <w:bookmarkStart w:id="11" w:name="_Toc12232"/>
      <w:bookmarkStart w:id="12" w:name="_Toc16077"/>
      <w:bookmarkStart w:id="13" w:name="_Toc88473801"/>
      <w:r>
        <w:rPr>
          <w:rFonts w:hint="eastAsia"/>
          <w:sz w:val="30"/>
        </w:rPr>
        <w:t>工作简况</w:t>
      </w:r>
      <w:bookmarkEnd w:id="11"/>
      <w:bookmarkEnd w:id="12"/>
    </w:p>
    <w:p w14:paraId="19D23159">
      <w:pPr>
        <w:spacing w:line="360" w:lineRule="auto"/>
        <w:ind w:firstLine="562" w:firstLineChars="200"/>
        <w:jc w:val="left"/>
        <w:outlineLvl w:val="1"/>
        <w:rPr>
          <w:rFonts w:hint="eastAsia" w:ascii="宋体" w:hAnsi="宋体"/>
          <w:b/>
          <w:sz w:val="28"/>
          <w:szCs w:val="28"/>
        </w:rPr>
      </w:pPr>
      <w:bookmarkStart w:id="14" w:name="_Toc9312"/>
      <w:r>
        <w:rPr>
          <w:rFonts w:ascii="宋体" w:hAnsi="宋体"/>
          <w:b/>
          <w:sz w:val="28"/>
          <w:szCs w:val="28"/>
        </w:rPr>
        <w:t xml:space="preserve">1. </w:t>
      </w:r>
      <w:r>
        <w:rPr>
          <w:rFonts w:hint="eastAsia" w:ascii="宋体" w:hAnsi="宋体"/>
          <w:b/>
          <w:sz w:val="28"/>
          <w:szCs w:val="28"/>
        </w:rPr>
        <w:t>任务来源</w:t>
      </w:r>
      <w:bookmarkEnd w:id="14"/>
    </w:p>
    <w:p w14:paraId="2FBBD20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（说明方法学编制的基本信息、原则及过程。）</w:t>
      </w:r>
    </w:p>
    <w:p w14:paraId="53749D26">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结合深圳市绿色低碳发展要求，基于居民生活用电场景，</w:t>
      </w:r>
      <w:r>
        <w:rPr>
          <w:rFonts w:hint="eastAsia" w:ascii="宋体" w:hAnsi="宋体"/>
          <w:sz w:val="28"/>
          <w:szCs w:val="28"/>
          <w:lang w:val="en-US" w:eastAsia="zh-CN"/>
        </w:rPr>
        <w:t>修订《</w:t>
      </w:r>
      <w:r>
        <w:rPr>
          <w:rFonts w:hint="eastAsia" w:ascii="宋体" w:hAnsi="宋体"/>
          <w:sz w:val="28"/>
          <w:szCs w:val="28"/>
        </w:rPr>
        <w:t>深圳市居民低碳用电碳普惠方法学</w:t>
      </w:r>
      <w:r>
        <w:rPr>
          <w:rFonts w:hint="eastAsia" w:ascii="宋体" w:hAnsi="宋体"/>
          <w:sz w:val="28"/>
          <w:szCs w:val="28"/>
          <w:lang w:eastAsia="zh-CN"/>
        </w:rPr>
        <w:t>（</w:t>
      </w:r>
      <w:r>
        <w:rPr>
          <w:rFonts w:hint="eastAsia" w:ascii="宋体" w:hAnsi="宋体"/>
          <w:sz w:val="28"/>
          <w:szCs w:val="28"/>
          <w:lang w:val="en-US" w:eastAsia="zh-CN"/>
        </w:rPr>
        <w:t>试行</w:t>
      </w:r>
      <w:r>
        <w:rPr>
          <w:rFonts w:hint="eastAsia" w:ascii="宋体" w:hAnsi="宋体"/>
          <w:sz w:val="28"/>
          <w:szCs w:val="28"/>
          <w:lang w:eastAsia="zh-CN"/>
        </w:rPr>
        <w:t>）</w:t>
      </w:r>
      <w:r>
        <w:rPr>
          <w:rFonts w:hint="eastAsia" w:ascii="宋体" w:hAnsi="宋体"/>
          <w:sz w:val="28"/>
          <w:szCs w:val="28"/>
          <w:lang w:val="en-US" w:eastAsia="zh-CN"/>
        </w:rPr>
        <w:t>》</w:t>
      </w:r>
      <w:r>
        <w:rPr>
          <w:rFonts w:hint="eastAsia" w:ascii="宋体" w:hAnsi="宋体"/>
          <w:sz w:val="28"/>
          <w:szCs w:val="28"/>
        </w:rPr>
        <w:t>，以方法学规范减排量核算。为此，深圳绿色交易所有限公司</w:t>
      </w:r>
      <w:r>
        <w:rPr>
          <w:rFonts w:hint="eastAsia" w:ascii="宋体" w:hAnsi="宋体"/>
          <w:sz w:val="28"/>
          <w:szCs w:val="28"/>
          <w:lang w:val="en-US" w:eastAsia="zh-CN"/>
        </w:rPr>
        <w:t>联合</w:t>
      </w:r>
      <w:r>
        <w:rPr>
          <w:rFonts w:hint="eastAsia" w:ascii="宋体" w:hAnsi="宋体"/>
          <w:sz w:val="28"/>
          <w:szCs w:val="28"/>
        </w:rPr>
        <w:t>深圳供电局有限公司开展</w:t>
      </w:r>
      <w:r>
        <w:rPr>
          <w:rFonts w:hint="eastAsia" w:ascii="宋体" w:hAnsi="宋体"/>
          <w:sz w:val="28"/>
          <w:szCs w:val="28"/>
          <w:lang w:val="en-US" w:eastAsia="zh-CN"/>
        </w:rPr>
        <w:t>《</w:t>
      </w:r>
      <w:r>
        <w:rPr>
          <w:rFonts w:hint="eastAsia" w:ascii="宋体" w:hAnsi="宋体"/>
          <w:sz w:val="28"/>
          <w:szCs w:val="28"/>
        </w:rPr>
        <w:t>深圳市居民低碳用电碳普惠方法学</w:t>
      </w:r>
      <w:r>
        <w:rPr>
          <w:rFonts w:hint="eastAsia" w:ascii="宋体" w:hAnsi="宋体"/>
          <w:sz w:val="28"/>
          <w:szCs w:val="28"/>
          <w:lang w:eastAsia="zh-CN"/>
        </w:rPr>
        <w:t>（</w:t>
      </w:r>
      <w:r>
        <w:rPr>
          <w:rFonts w:hint="eastAsia" w:ascii="宋体" w:hAnsi="宋体"/>
          <w:sz w:val="28"/>
          <w:szCs w:val="28"/>
          <w:lang w:val="en-US" w:eastAsia="zh-CN"/>
        </w:rPr>
        <w:t>试行</w:t>
      </w:r>
      <w:r>
        <w:rPr>
          <w:rFonts w:hint="eastAsia" w:ascii="宋体" w:hAnsi="宋体"/>
          <w:sz w:val="28"/>
          <w:szCs w:val="28"/>
          <w:lang w:eastAsia="zh-CN"/>
        </w:rPr>
        <w:t>）</w:t>
      </w:r>
      <w:r>
        <w:rPr>
          <w:rFonts w:hint="eastAsia" w:ascii="宋体" w:hAnsi="宋体"/>
          <w:sz w:val="28"/>
          <w:szCs w:val="28"/>
          <w:lang w:val="en-US" w:eastAsia="zh-CN"/>
        </w:rPr>
        <w:t>》修订</w:t>
      </w:r>
      <w:r>
        <w:rPr>
          <w:rFonts w:hint="eastAsia" w:ascii="宋体" w:hAnsi="宋体"/>
          <w:sz w:val="28"/>
          <w:szCs w:val="28"/>
        </w:rPr>
        <w:t>工作。</w:t>
      </w:r>
    </w:p>
    <w:p w14:paraId="3BBD8F66">
      <w:pPr>
        <w:spacing w:line="360" w:lineRule="auto"/>
        <w:ind w:firstLine="562" w:firstLineChars="200"/>
        <w:jc w:val="left"/>
        <w:outlineLvl w:val="1"/>
        <w:rPr>
          <w:rFonts w:hint="eastAsia" w:ascii="宋体" w:hAnsi="宋体"/>
          <w:b/>
          <w:sz w:val="28"/>
          <w:szCs w:val="28"/>
        </w:rPr>
      </w:pPr>
      <w:bookmarkStart w:id="15" w:name="_Toc8870"/>
      <w:r>
        <w:rPr>
          <w:rFonts w:ascii="宋体" w:hAnsi="宋体"/>
          <w:b/>
          <w:sz w:val="28"/>
          <w:szCs w:val="28"/>
        </w:rPr>
        <w:t>2. 编制目的</w:t>
      </w:r>
      <w:bookmarkEnd w:id="15"/>
    </w:p>
    <w:p w14:paraId="723318A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（1）居民电力消费是城市碳排放的重要来源</w:t>
      </w:r>
    </w:p>
    <w:p w14:paraId="2D461F1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随着城市电气化程度提高，社会用电需求持续增长，城市居民电力消费总量也逐步提升。城市居民电力消费在电力消费中占据较大比例，因而导致电力生产端扩大供给，使得减排成本优势最高的煤电装机比例下降缓慢，碳排放总量增加。电力行业也是我国碳排放的主要来源，也是最先纳入全国碳排放权交易市场的重点行业，因此降低城市居民电力消费总量可降低电力行业发电量，进而降低国家碳排放总量，助力国家双碳目标的实现。</w:t>
      </w:r>
    </w:p>
    <w:p w14:paraId="76231CB3">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降低居民电力消费产生碳排放的主要方式包括绿色电力使用和节约电力消费两种途径，由于目前电力市场化交易尚未放开至居民侧，无法组织居民侧的绿电交易，因此通过科学有效的机制推动居民节约电力消费是目前切实可行的减排路径。建立深圳居民低碳用电碳普惠方法学量化标准，一方面可以推动降低深圳市由电力消费蕴含的间接碳排放，另一方面也可以利用深圳碳普惠体系的交易与价值反馈机制为节约用电的居民回馈碳普惠商品和服务，形成可持续的商业模式。</w:t>
      </w:r>
    </w:p>
    <w:p w14:paraId="3C11087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（2）深圳碳普惠方法学是构建深圳碳普惠体系的重要支撑</w:t>
      </w:r>
    </w:p>
    <w:p w14:paraId="747DDC58">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2021年11月深圳市人民政府办公厅印发《深圳碳普惠体系建设工作方案》（简称《工作方案》），深圳碳普惠体系计划打造绿色出行、绿色消费、绿色生活、绿色公益等低碳场景。在绿色生活场景中，居民节约用电是其中重点打造的场景之一。制定深圳市居民低碳用电碳普惠方法学，可以科学量化深圳市民节约用电产生的碳减排量，并通过深圳碳普惠循环机制产生碳积分，搭配供电局自有平台积分为居民组合配置相应权益，助力构建深圳碳普惠体系建设。</w:t>
      </w:r>
    </w:p>
    <w:p w14:paraId="1B7B217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（3）深圳碳普惠机制是强化平台用户粘性的重要方式</w:t>
      </w:r>
    </w:p>
    <w:p w14:paraId="5DC0AC9F">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深圳碳普惠机制将量化企业、社会公众低碳行为的减排量，通过低碳行为数据记录的数据聚集平台运营机构与碳交易市场平台的互联互通，以政策鼓励、商业激励、公益支持、市场交易等手段引导绿色低碳行为，从而提升社会公众的绿色低碳生产生活意识与意愿。搭建节约用电客户端，依托大数据与互联网技术，通过深圳碳普惠机制，为完成节约用电的深圳市民完成价值回馈，进而提升深圳供电局有限公司作为数据聚集平台运营机构的用户粘性，为后续电力市场化改革传导到居民用电侧提前布局，夯实基础，巩固地位，提升规模。</w:t>
      </w:r>
    </w:p>
    <w:p w14:paraId="43AB4566">
      <w:pPr>
        <w:spacing w:line="360" w:lineRule="auto"/>
        <w:ind w:firstLine="562" w:firstLineChars="200"/>
        <w:jc w:val="left"/>
        <w:outlineLvl w:val="1"/>
        <w:rPr>
          <w:rFonts w:hint="eastAsia" w:ascii="宋体" w:hAnsi="宋体"/>
          <w:b/>
          <w:sz w:val="28"/>
          <w:szCs w:val="28"/>
        </w:rPr>
      </w:pPr>
      <w:bookmarkStart w:id="16" w:name="_Toc20053"/>
      <w:r>
        <w:rPr>
          <w:rFonts w:ascii="宋体" w:hAnsi="宋体"/>
          <w:b/>
          <w:sz w:val="28"/>
          <w:szCs w:val="28"/>
        </w:rPr>
        <w:t>3. 编制原则</w:t>
      </w:r>
      <w:bookmarkEnd w:id="16"/>
    </w:p>
    <w:p w14:paraId="1C923AA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(1)相关性：选择适当的碳源、碳汇、碳库、数据和方法，以适应核算碳普惠行为减排量的需求。</w:t>
      </w:r>
    </w:p>
    <w:p w14:paraId="30E05E3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(2)完整性：包括所有相关的二氧化碳排放和清除过程。</w:t>
      </w:r>
    </w:p>
    <w:p w14:paraId="2A8B96D6">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(3)准确性：对碳普惠行为减排量进行准确的计算，尽可能减少偏差和不确定性。</w:t>
      </w:r>
    </w:p>
    <w:p w14:paraId="4826595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(4)透明性：有明确的、可核查的数据收集方法和计算过程，对计算方法及数据来源给出说明。</w:t>
      </w:r>
    </w:p>
    <w:p w14:paraId="023D86D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(5)一致性：与国际和国内相关的方法学标准保持一致。利益相关方能够对碳普惠有关信息进行有意义的比较。</w:t>
      </w:r>
    </w:p>
    <w:p w14:paraId="0D6BB197">
      <w:pPr>
        <w:spacing w:line="360" w:lineRule="auto"/>
        <w:ind w:firstLine="562" w:firstLineChars="200"/>
        <w:jc w:val="left"/>
        <w:outlineLvl w:val="1"/>
        <w:rPr>
          <w:rFonts w:hint="eastAsia" w:ascii="宋体" w:hAnsi="宋体"/>
          <w:b/>
          <w:sz w:val="28"/>
          <w:szCs w:val="28"/>
        </w:rPr>
      </w:pPr>
      <w:bookmarkStart w:id="17" w:name="_Toc26544"/>
      <w:r>
        <w:rPr>
          <w:rFonts w:ascii="宋体" w:hAnsi="宋体"/>
          <w:b/>
          <w:sz w:val="28"/>
          <w:szCs w:val="28"/>
        </w:rPr>
        <w:t>4.</w:t>
      </w:r>
      <w:r>
        <w:rPr>
          <w:rFonts w:hint="eastAsia" w:ascii="宋体" w:hAnsi="宋体"/>
          <w:b/>
          <w:sz w:val="28"/>
          <w:szCs w:val="28"/>
        </w:rPr>
        <w:t xml:space="preserve"> 主要</w:t>
      </w:r>
      <w:r>
        <w:rPr>
          <w:rFonts w:ascii="宋体" w:hAnsi="宋体"/>
          <w:b/>
          <w:sz w:val="28"/>
          <w:szCs w:val="28"/>
        </w:rPr>
        <w:t>编制</w:t>
      </w:r>
      <w:r>
        <w:rPr>
          <w:rFonts w:hint="eastAsia" w:ascii="宋体" w:hAnsi="宋体"/>
          <w:b/>
          <w:sz w:val="28"/>
          <w:szCs w:val="28"/>
        </w:rPr>
        <w:t>过程</w:t>
      </w:r>
      <w:bookmarkEnd w:id="17"/>
    </w:p>
    <w:p w14:paraId="09ACD57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（1）2025年7月，项目组</w:t>
      </w:r>
      <w:r>
        <w:rPr>
          <w:rFonts w:hint="eastAsia" w:ascii="宋体" w:hAnsi="宋体"/>
          <w:sz w:val="28"/>
          <w:szCs w:val="28"/>
          <w:lang w:val="en-US" w:eastAsia="zh-CN"/>
        </w:rPr>
        <w:t>向深圳市生态环境局提交</w:t>
      </w:r>
      <w:r>
        <w:rPr>
          <w:rFonts w:hint="eastAsia" w:ascii="宋体" w:hAnsi="宋体"/>
          <w:sz w:val="28"/>
          <w:szCs w:val="28"/>
        </w:rPr>
        <w:t>《深圳市居民低碳用电碳普惠方法学》</w:t>
      </w:r>
      <w:r>
        <w:rPr>
          <w:rFonts w:hint="eastAsia" w:ascii="宋体" w:hAnsi="宋体"/>
          <w:sz w:val="28"/>
          <w:szCs w:val="28"/>
          <w:lang w:val="en-US" w:eastAsia="zh-CN"/>
        </w:rPr>
        <w:t>修订申请并启动修订工作</w:t>
      </w:r>
      <w:r>
        <w:rPr>
          <w:rFonts w:hint="eastAsia" w:ascii="宋体" w:hAnsi="宋体"/>
          <w:sz w:val="28"/>
          <w:szCs w:val="28"/>
        </w:rPr>
        <w:t>。</w:t>
      </w:r>
    </w:p>
    <w:p w14:paraId="4685AF9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（2）2025年8月，讨论优化项目情景，对多种情景重新测算减排量。</w:t>
      </w:r>
    </w:p>
    <w:p w14:paraId="11ACFAC9">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（3）2025年9月，形成《深圳市居民低碳用电碳普惠方法学（修订</w:t>
      </w:r>
      <w:r>
        <w:rPr>
          <w:rFonts w:hint="eastAsia" w:ascii="宋体" w:hAnsi="宋体"/>
          <w:sz w:val="28"/>
          <w:szCs w:val="28"/>
          <w:lang w:val="en-US" w:eastAsia="zh-CN"/>
        </w:rPr>
        <w:t>草案</w:t>
      </w:r>
      <w:r>
        <w:rPr>
          <w:rFonts w:hint="eastAsia" w:ascii="宋体" w:hAnsi="宋体"/>
          <w:sz w:val="28"/>
          <w:szCs w:val="28"/>
        </w:rPr>
        <w:t>稿）》。</w:t>
      </w:r>
    </w:p>
    <w:p w14:paraId="68D8F723">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）2025年</w:t>
      </w:r>
      <w:r>
        <w:rPr>
          <w:rFonts w:hint="eastAsia" w:ascii="宋体" w:hAnsi="宋体"/>
          <w:sz w:val="28"/>
          <w:szCs w:val="28"/>
          <w:lang w:val="en-US" w:eastAsia="zh-CN"/>
        </w:rPr>
        <w:t>11</w:t>
      </w:r>
      <w:r>
        <w:rPr>
          <w:rFonts w:hint="eastAsia" w:ascii="宋体" w:hAnsi="宋体"/>
          <w:sz w:val="28"/>
          <w:szCs w:val="28"/>
        </w:rPr>
        <w:t>月，形成《深圳市居民低碳用电碳普惠方法学（</w:t>
      </w:r>
      <w:r>
        <w:rPr>
          <w:rFonts w:hint="eastAsia" w:ascii="宋体" w:hAnsi="宋体"/>
          <w:sz w:val="28"/>
          <w:szCs w:val="28"/>
          <w:lang w:val="en-US" w:eastAsia="zh-CN"/>
        </w:rPr>
        <w:t>征求意见</w:t>
      </w:r>
      <w:r>
        <w:rPr>
          <w:rFonts w:hint="eastAsia" w:ascii="宋体" w:hAnsi="宋体"/>
          <w:sz w:val="28"/>
          <w:szCs w:val="28"/>
        </w:rPr>
        <w:t>稿）》。</w:t>
      </w:r>
    </w:p>
    <w:p w14:paraId="341DB1D5">
      <w:pPr>
        <w:pStyle w:val="2"/>
        <w:numPr>
          <w:ilvl w:val="0"/>
          <w:numId w:val="2"/>
        </w:numPr>
        <w:tabs>
          <w:tab w:val="left" w:pos="360"/>
        </w:tabs>
        <w:spacing w:before="0" w:after="0" w:line="360" w:lineRule="auto"/>
        <w:ind w:left="0" w:firstLine="602" w:firstLineChars="200"/>
        <w:jc w:val="left"/>
        <w:rPr>
          <w:sz w:val="30"/>
        </w:rPr>
      </w:pPr>
      <w:bookmarkStart w:id="18" w:name="_Toc22172"/>
      <w:bookmarkStart w:id="19" w:name="_Toc26362"/>
      <w:r>
        <w:rPr>
          <w:rFonts w:hint="eastAsia"/>
          <w:sz w:val="30"/>
        </w:rPr>
        <w:t>主要内容</w:t>
      </w:r>
      <w:bookmarkEnd w:id="18"/>
      <w:bookmarkEnd w:id="19"/>
    </w:p>
    <w:bookmarkEnd w:id="13"/>
    <w:p w14:paraId="723C16C9">
      <w:pPr>
        <w:spacing w:line="360" w:lineRule="auto"/>
        <w:ind w:firstLine="562" w:firstLineChars="200"/>
        <w:jc w:val="left"/>
        <w:outlineLvl w:val="1"/>
        <w:rPr>
          <w:rFonts w:hint="eastAsia" w:ascii="宋体" w:hAnsi="宋体"/>
          <w:b/>
          <w:sz w:val="28"/>
          <w:szCs w:val="28"/>
        </w:rPr>
      </w:pPr>
      <w:bookmarkStart w:id="20" w:name="_Toc26704"/>
      <w:r>
        <w:rPr>
          <w:rFonts w:ascii="宋体" w:hAnsi="宋体"/>
          <w:b/>
          <w:sz w:val="28"/>
          <w:szCs w:val="28"/>
        </w:rPr>
        <w:t xml:space="preserve">1. </w:t>
      </w:r>
      <w:r>
        <w:rPr>
          <w:rFonts w:hint="eastAsia" w:ascii="宋体" w:hAnsi="宋体"/>
          <w:b/>
          <w:sz w:val="28"/>
          <w:szCs w:val="28"/>
        </w:rPr>
        <w:t>方法学内容说明</w:t>
      </w:r>
      <w:bookmarkEnd w:id="20"/>
    </w:p>
    <w:p w14:paraId="06431821">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本方法学共有十二个章节，具体包括：</w:t>
      </w:r>
    </w:p>
    <w:p w14:paraId="57016E3F">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（1）范围</w:t>
      </w:r>
    </w:p>
    <w:p w14:paraId="6CEF52E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明确方法学的适用范围。本方法学主要适用于核算个人在深圳行政区域内自觉减少生活用电所产生的减排量。</w:t>
      </w:r>
    </w:p>
    <w:p w14:paraId="344D71D1">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（2）规范性引用文件</w:t>
      </w:r>
    </w:p>
    <w:p w14:paraId="1A14346C">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本文件没有规范性引用文件。</w:t>
      </w:r>
    </w:p>
    <w:p w14:paraId="142BD061">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（3）术语和定义</w:t>
      </w:r>
    </w:p>
    <w:p w14:paraId="6FE5D51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对本方法学出现的相关名词进行解释。</w:t>
      </w:r>
    </w:p>
    <w:p w14:paraId="5F2D4BAB">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（4）适用条件</w:t>
      </w:r>
    </w:p>
    <w:p w14:paraId="67BCB776">
      <w:pPr>
        <w:adjustRightInd w:val="0"/>
        <w:snapToGrid w:val="0"/>
        <w:spacing w:line="360" w:lineRule="auto"/>
        <w:ind w:firstLine="560" w:firstLineChars="200"/>
        <w:rPr>
          <w:rFonts w:hint="eastAsia" w:ascii="宋体" w:hAnsi="宋体"/>
          <w:b/>
          <w:bCs/>
          <w:sz w:val="28"/>
          <w:szCs w:val="28"/>
        </w:rPr>
      </w:pPr>
      <w:r>
        <w:rPr>
          <w:rFonts w:hint="eastAsia" w:ascii="宋体" w:hAnsi="宋体"/>
          <w:sz w:val="28"/>
          <w:szCs w:val="28"/>
        </w:rPr>
        <w:t>对本方法学的适用条件进行明确。本方法学适用于深圳碳普惠体系下，数据聚集平台运营机构为其注册用户在深圳市内节约使用居民生活用电方式产生减排量的核算。</w:t>
      </w:r>
      <w:r>
        <w:rPr>
          <w:rFonts w:hint="eastAsia" w:ascii="宋体" w:hAnsi="宋体"/>
          <w:b/>
          <w:bCs/>
          <w:sz w:val="28"/>
          <w:szCs w:val="28"/>
        </w:rPr>
        <w:t>将计入期自2022年1月1日起计修订为以注册用户与程序运营机构达成授权委托协议数据可被采集之日起开始，且不得早于2022年8月18日。项目核算周期以自然年为计算单位，不满一个自然年的项目可合并至下一自然年申报。</w:t>
      </w:r>
    </w:p>
    <w:p w14:paraId="4DD709A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（5）减排量普惠性论述</w:t>
      </w:r>
    </w:p>
    <w:p w14:paraId="4D991E3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结合《深圳市碳普惠管理办法》核心思想，居民低碳用电碳普惠行为具有广泛的群众基础，倡导绿色生活可培养社会公众绿色低碳意识。通过科学的方法量化核算居民低碳用电产生的减排量，再经由市场机制向公众反馈碳积分，可达到通过市场化手段鼓励居民低碳用电方式的积极效应。</w:t>
      </w:r>
    </w:p>
    <w:p w14:paraId="0628C45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（6）额外性论述</w:t>
      </w:r>
    </w:p>
    <w:p w14:paraId="65017627">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明确本方法学所核算的绿色低碳行为，免除额外性的论述。</w:t>
      </w:r>
    </w:p>
    <w:p w14:paraId="041E9E9F">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基于深圳市碳普惠体系下，暂未对额外性有明确的论述，因此本方法学免除额外性的论述。</w:t>
      </w:r>
    </w:p>
    <w:p w14:paraId="25B7F52F">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（7）避免减排量重复申报的措施</w:t>
      </w:r>
    </w:p>
    <w:p w14:paraId="1D45C12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对方法学如何能够避免出现减排量重复申报的现象进行解释论述。</w:t>
      </w:r>
    </w:p>
    <w:p w14:paraId="180EB32E">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（8）核算边界的确定</w:t>
      </w:r>
    </w:p>
    <w:p w14:paraId="06FCBB4A">
      <w:pPr>
        <w:adjustRightInd w:val="0"/>
        <w:snapToGrid w:val="0"/>
        <w:spacing w:line="360" w:lineRule="auto"/>
        <w:ind w:firstLine="562" w:firstLineChars="200"/>
        <w:rPr>
          <w:rFonts w:hint="eastAsia" w:ascii="宋体" w:hAnsi="宋体"/>
          <w:b/>
          <w:bCs/>
          <w:sz w:val="28"/>
          <w:szCs w:val="28"/>
        </w:rPr>
      </w:pPr>
      <w:r>
        <w:rPr>
          <w:rFonts w:hint="eastAsia" w:ascii="宋体" w:hAnsi="宋体"/>
          <w:b/>
          <w:bCs/>
          <w:sz w:val="28"/>
          <w:szCs w:val="28"/>
        </w:rPr>
        <w:t>明确项目的核算边界，包括核算的空间范围、房产类别及温室气体种类。公益性事业单位包括学校、医院、社会福利机构、社区服务中心等，异常用电数据的剔除条件为“用户日用电量小于等于1度或大于100度”，其中日电量小于等于1，属于路灯、梯灯、水泵等公共设备用电，日电量大于100，属于城中村合表用户用电。</w:t>
      </w:r>
    </w:p>
    <w:p w14:paraId="28A9B59D">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（9）基准线情景的确定</w:t>
      </w:r>
    </w:p>
    <w:p w14:paraId="11A9169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阐释本方法学的基准线情景所包含的居民生活用电方式，计算基准线情景居民生活用电的排放量。</w:t>
      </w:r>
    </w:p>
    <w:p w14:paraId="1ED3539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第一，本方法学中，基准线情景考虑了居民生活用电的用电量、住户数、电力排放因子、以及户均常住人数。</w:t>
      </w:r>
    </w:p>
    <w:p w14:paraId="2C3A1043">
      <w:pPr>
        <w:adjustRightInd w:val="0"/>
        <w:snapToGrid w:val="0"/>
        <w:spacing w:line="360" w:lineRule="auto"/>
        <w:ind w:firstLine="560" w:firstLineChars="200"/>
        <w:rPr>
          <w:rFonts w:hint="eastAsia" w:ascii="宋体" w:hAnsi="宋体"/>
          <w:b/>
          <w:bCs/>
          <w:sz w:val="28"/>
          <w:szCs w:val="28"/>
        </w:rPr>
      </w:pPr>
      <w:r>
        <w:rPr>
          <w:rFonts w:hint="eastAsia" w:ascii="宋体" w:hAnsi="宋体"/>
          <w:sz w:val="28"/>
          <w:szCs w:val="28"/>
        </w:rPr>
        <w:t>第二，为切实保障居民生活用电的减排权益</w:t>
      </w:r>
      <w:r>
        <w:rPr>
          <w:rFonts w:hint="eastAsia" w:ascii="宋体" w:hAnsi="宋体"/>
          <w:b w:val="0"/>
          <w:bCs w:val="0"/>
          <w:sz w:val="28"/>
          <w:szCs w:val="28"/>
        </w:rPr>
        <w:t>，</w:t>
      </w:r>
      <w:r>
        <w:rPr>
          <w:rFonts w:hint="eastAsia" w:ascii="宋体" w:hAnsi="宋体"/>
          <w:b/>
          <w:bCs/>
          <w:sz w:val="28"/>
          <w:szCs w:val="28"/>
        </w:rPr>
        <w:t>基准线情景以全市居民生活用电的每人日均排放量为基准。</w:t>
      </w:r>
    </w:p>
    <w:p w14:paraId="4A8E965B">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第三，基于收集到的数据信息，进行摸底分析，确保基准线的排放量科学合理。本方法学设定基准线，基准线为深圳市居民生活用电的每人日均排放量，并通过将注册用户实际排放量与基准线对比，确定减排量。</w:t>
      </w:r>
    </w:p>
    <w:p w14:paraId="5B2B0DD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关于基准线情景，计算基准线情景居民生活用电的排放量总和、以及住户人数的总数，推导出基准线情景的全市居民生活用电的每人日均排放量。</w:t>
      </w:r>
    </w:p>
    <w:p w14:paraId="1DBF5A8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（10）项目情景</w:t>
      </w:r>
    </w:p>
    <w:p w14:paraId="50FFFFCC">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阐释本方法学的</w:t>
      </w:r>
      <w:r>
        <w:rPr>
          <w:rFonts w:hint="eastAsia" w:ascii="宋体" w:hAnsi="宋体"/>
          <w:b/>
          <w:bCs/>
          <w:sz w:val="28"/>
          <w:szCs w:val="28"/>
        </w:rPr>
        <w:t>项目情景下注册用户使用居民生活用电的当日实际排放量。</w:t>
      </w:r>
    </w:p>
    <w:p w14:paraId="08051565">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（11）减排量</w:t>
      </w:r>
    </w:p>
    <w:p w14:paraId="461286D4">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基于基准线情景计算的全市居民生活用电的每人日均排放量，当注册用户使用生活用电的当日实际排放量低于全市每人日均排放量时，则产生减排量；高于全市每人日均排放量水平时，则不产生减排量。</w:t>
      </w:r>
    </w:p>
    <w:p w14:paraId="4FCB4343">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（12）数据来源与监测</w:t>
      </w:r>
    </w:p>
    <w:p w14:paraId="43E04FC9">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确定了方法学的更新周期，阐述说明减排量核算的数据来源。</w:t>
      </w:r>
    </w:p>
    <w:p w14:paraId="0F61A1D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第一，结合深圳市居民生活用电领域的技术可行性、居民生活用电行为、季节、温度、湿度等影响因素，本项目缺省数据需定期更新，具体以主管部门发布为准。</w:t>
      </w:r>
    </w:p>
    <w:p w14:paraId="2F89B9ED">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第二，对监测数据、缺省数据的程序和要求进行说明。</w:t>
      </w:r>
    </w:p>
    <w:p w14:paraId="51AE7B42">
      <w:pPr>
        <w:spacing w:line="360" w:lineRule="auto"/>
        <w:ind w:firstLine="562" w:firstLineChars="200"/>
        <w:outlineLvl w:val="1"/>
        <w:rPr>
          <w:rFonts w:hint="eastAsia" w:ascii="宋体" w:hAnsi="宋体"/>
          <w:b/>
          <w:sz w:val="28"/>
          <w:szCs w:val="28"/>
        </w:rPr>
      </w:pPr>
      <w:bookmarkStart w:id="21" w:name="_Toc88473804"/>
      <w:bookmarkStart w:id="22" w:name="_Toc10617"/>
      <w:r>
        <w:rPr>
          <w:rFonts w:ascii="宋体" w:hAnsi="宋体"/>
          <w:b/>
          <w:sz w:val="28"/>
          <w:szCs w:val="28"/>
        </w:rPr>
        <w:t xml:space="preserve">2. </w:t>
      </w:r>
      <w:r>
        <w:rPr>
          <w:rFonts w:hint="eastAsia" w:ascii="宋体" w:hAnsi="宋体"/>
          <w:b/>
          <w:sz w:val="28"/>
          <w:szCs w:val="28"/>
        </w:rPr>
        <w:t>技术指标说明</w:t>
      </w:r>
      <w:bookmarkEnd w:id="21"/>
      <w:bookmarkEnd w:id="22"/>
      <w:bookmarkStart w:id="23" w:name="_Toc88473805"/>
    </w:p>
    <w:bookmarkEnd w:id="23"/>
    <w:p w14:paraId="2DBB7BBA">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（1）监测数据说明</w:t>
      </w:r>
    </w:p>
    <w:p w14:paraId="0C8665DE">
      <w:pPr>
        <w:spacing w:line="360" w:lineRule="auto"/>
        <w:ind w:firstLine="560" w:firstLineChars="200"/>
        <w:rPr>
          <w:rFonts w:hint="eastAsia" w:ascii="宋体" w:hAnsi="宋体"/>
          <w:sz w:val="28"/>
          <w:szCs w:val="28"/>
        </w:rPr>
      </w:pPr>
      <w:bookmarkStart w:id="24" w:name="_Hlk202519049"/>
      <w:r>
        <w:rPr>
          <w:rFonts w:hint="eastAsia" w:ascii="宋体" w:hAnsi="宋体"/>
          <w:sz w:val="28"/>
          <w:szCs w:val="28"/>
        </w:rPr>
        <w:t>本方法学需要监测的数据主要包括深圳市居民生活用电的日均用电总量、注册用户居民生活用电的实际用电量、深圳市使用居民生活用电的总户数、户均常住人口、注册用户以户为单位申报的常住人数。</w:t>
      </w:r>
    </w:p>
    <w:p w14:paraId="1AFE9A37">
      <w:pPr>
        <w:spacing w:line="360" w:lineRule="auto"/>
        <w:ind w:firstLine="560" w:firstLineChars="200"/>
        <w:rPr>
          <w:rFonts w:hint="eastAsia" w:ascii="宋体" w:hAnsi="宋体"/>
          <w:sz w:val="28"/>
          <w:szCs w:val="28"/>
        </w:rPr>
      </w:pPr>
      <w:r>
        <w:rPr>
          <w:rFonts w:hint="eastAsia" w:ascii="宋体" w:hAnsi="宋体"/>
          <w:sz w:val="28"/>
          <w:szCs w:val="28"/>
        </w:rPr>
        <w:t>其中居民生活用电的日均用电总量、注册用户居民生活用电的实际用电量、注册用户以户为单位申报的常住人数通过数据聚集平台运营机构记录统计，深圳市使用居民生活用电的总户数通过供电局统计数据获取，户均常住人口通过《深圳统计年鉴》记录获得。</w:t>
      </w:r>
    </w:p>
    <w:bookmarkEnd w:id="24"/>
    <w:p w14:paraId="346EFC09">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（2）缺省数据说明</w:t>
      </w:r>
    </w:p>
    <w:p w14:paraId="20C7A6C2">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缺省数据主要包括电力排放因子和先进性系数。该缺省数据需定期更新，具体以主管部门发布为准。其中电力排放因子根据国家发布的电力排放因子进行更新，先进性系数收集2024年7月份月均的统计数据，按264万户基数，分析了先进性系数分别为20%、40%、60%、80%等情况减排用户数量占比，分别为7.44%、16.08%、26.29%、36.97%。</w:t>
      </w:r>
    </w:p>
    <w:p w14:paraId="707F3B56">
      <w:pPr>
        <w:adjustRightInd w:val="0"/>
        <w:snapToGrid w:val="0"/>
        <w:spacing w:before="217" w:beforeLines="50" w:line="360" w:lineRule="auto"/>
        <w:ind w:firstLine="562" w:firstLineChars="200"/>
        <w:rPr>
          <w:rFonts w:hint="eastAsia" w:ascii="宋体" w:hAnsi="宋体"/>
          <w:b/>
          <w:bCs/>
          <w:sz w:val="28"/>
          <w:szCs w:val="28"/>
        </w:rPr>
      </w:pPr>
      <w:r>
        <w:rPr>
          <w:rFonts w:hint="eastAsia" w:ascii="宋体" w:hAnsi="宋体"/>
          <w:b/>
          <w:bCs/>
          <w:sz w:val="28"/>
          <w:szCs w:val="28"/>
        </w:rPr>
        <w:t>从户数占比分析，即要体现少数用户代表减排的先进性，又要尽量覆盖更多用户，参与减碳活动中来，因此选取先进性系数为60%。</w:t>
      </w:r>
    </w:p>
    <w:p w14:paraId="2D40D765">
      <w:pPr>
        <w:pStyle w:val="2"/>
        <w:numPr>
          <w:ilvl w:val="0"/>
          <w:numId w:val="2"/>
        </w:numPr>
        <w:tabs>
          <w:tab w:val="left" w:pos="360"/>
        </w:tabs>
        <w:spacing w:before="0" w:after="0" w:line="360" w:lineRule="auto"/>
        <w:ind w:left="0" w:firstLine="602" w:firstLineChars="200"/>
        <w:jc w:val="left"/>
        <w:rPr>
          <w:sz w:val="30"/>
        </w:rPr>
      </w:pPr>
      <w:r>
        <w:rPr>
          <w:rFonts w:hint="eastAsia"/>
          <w:sz w:val="30"/>
        </w:rPr>
        <w:t>减排量测算分析</w:t>
      </w:r>
    </w:p>
    <w:p w14:paraId="2B940540">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基于方法学计算逻辑，选取项目开展1个自然年的减排量测算。同时，结合深圳市内项目的应用和普及情况，测算深圳市1个自然年的减排量规模。</w:t>
      </w:r>
    </w:p>
    <w:p w14:paraId="689A2DA2">
      <w:pPr>
        <w:adjustRightInd w:val="0"/>
        <w:snapToGrid w:val="0"/>
        <w:spacing w:line="360" w:lineRule="auto"/>
        <w:ind w:firstLine="562" w:firstLineChars="200"/>
        <w:rPr>
          <w:rFonts w:hint="eastAsia" w:ascii="宋体" w:hAnsi="宋体"/>
          <w:b/>
          <w:bCs/>
          <w:sz w:val="28"/>
          <w:szCs w:val="28"/>
        </w:rPr>
      </w:pPr>
      <w:r>
        <w:rPr>
          <w:rFonts w:hint="eastAsia" w:ascii="宋体" w:hAnsi="宋体"/>
          <w:b/>
          <w:bCs/>
          <w:sz w:val="28"/>
          <w:szCs w:val="28"/>
        </w:rPr>
        <w:t>1.项目减排量测算</w:t>
      </w:r>
    </w:p>
    <w:p w14:paraId="02CF7FC9">
      <w:pPr>
        <w:spacing w:line="360" w:lineRule="auto"/>
        <w:ind w:firstLine="560" w:firstLineChars="200"/>
        <w:rPr>
          <w:rFonts w:hint="eastAsia" w:ascii="宋体" w:hAnsi="宋体"/>
          <w:sz w:val="28"/>
          <w:szCs w:val="28"/>
        </w:rPr>
      </w:pPr>
      <w:r>
        <w:rPr>
          <w:rFonts w:hint="eastAsia" w:ascii="宋体" w:hAnsi="宋体"/>
          <w:sz w:val="28"/>
          <w:szCs w:val="28"/>
        </w:rPr>
        <w:t>统计2</w:t>
      </w:r>
      <w:r>
        <w:rPr>
          <w:rFonts w:ascii="宋体" w:hAnsi="宋体"/>
          <w:sz w:val="28"/>
          <w:szCs w:val="28"/>
        </w:rPr>
        <w:t>02</w:t>
      </w:r>
      <w:r>
        <w:rPr>
          <w:rFonts w:hint="eastAsia" w:ascii="宋体" w:hAnsi="宋体"/>
          <w:sz w:val="28"/>
          <w:szCs w:val="28"/>
        </w:rPr>
        <w:t>4年1月1日至12月3</w:t>
      </w:r>
      <w:r>
        <w:rPr>
          <w:rFonts w:ascii="宋体" w:hAnsi="宋体"/>
          <w:sz w:val="28"/>
          <w:szCs w:val="28"/>
        </w:rPr>
        <w:t>1</w:t>
      </w:r>
      <w:r>
        <w:rPr>
          <w:rFonts w:hint="eastAsia" w:ascii="宋体" w:hAnsi="宋体"/>
          <w:sz w:val="28"/>
          <w:szCs w:val="28"/>
        </w:rPr>
        <w:t>日的全市居民生活用电量和注册用户的生活用电量，根据减排量计算逻辑进行测算，测算注册用户（约91.5万户）减排量约为2.75万吨。</w:t>
      </w:r>
    </w:p>
    <w:p w14:paraId="04A74898">
      <w:pPr>
        <w:adjustRightInd w:val="0"/>
        <w:snapToGrid w:val="0"/>
        <w:spacing w:line="360" w:lineRule="auto"/>
        <w:ind w:firstLine="562" w:firstLineChars="200"/>
        <w:rPr>
          <w:rFonts w:hint="eastAsia" w:ascii="宋体" w:hAnsi="宋体"/>
          <w:b/>
          <w:bCs/>
          <w:sz w:val="28"/>
          <w:szCs w:val="28"/>
        </w:rPr>
      </w:pPr>
      <w:r>
        <w:rPr>
          <w:rFonts w:hint="eastAsia" w:ascii="宋体" w:hAnsi="宋体"/>
          <w:b/>
          <w:bCs/>
          <w:sz w:val="28"/>
          <w:szCs w:val="28"/>
        </w:rPr>
        <w:t>2.深圳市范围内减排规模测算</w:t>
      </w:r>
    </w:p>
    <w:bookmarkEnd w:id="0"/>
    <w:p w14:paraId="2098B069">
      <w:pPr>
        <w:spacing w:line="360" w:lineRule="auto"/>
        <w:ind w:firstLine="560" w:firstLineChars="200"/>
        <w:rPr>
          <w:rFonts w:hint="eastAsia" w:ascii="宋体" w:hAnsi="宋体"/>
          <w:sz w:val="28"/>
          <w:szCs w:val="28"/>
        </w:rPr>
      </w:pPr>
      <w:r>
        <w:rPr>
          <w:rFonts w:hint="eastAsia" w:ascii="宋体" w:hAnsi="宋体"/>
          <w:sz w:val="28"/>
          <w:szCs w:val="28"/>
        </w:rPr>
        <w:t>如果按全市用户，约为264万户测算，年减排量约为8.96万吨。</w:t>
      </w:r>
    </w:p>
    <w:p w14:paraId="5B647421">
      <w:pPr>
        <w:rPr>
          <w:sz w:val="28"/>
          <w:szCs w:val="28"/>
        </w:rPr>
      </w:pPr>
    </w:p>
    <w:sectPr>
      <w:headerReference r:id="rId8" w:type="first"/>
      <w:headerReference r:id="rId6" w:type="default"/>
      <w:footerReference r:id="rId9" w:type="default"/>
      <w:headerReference r:id="rId7" w:type="even"/>
      <w:footerReference r:id="rId10" w:type="even"/>
      <w:pgSz w:w="11906" w:h="16838"/>
      <w:pgMar w:top="1440" w:right="1800" w:bottom="1440" w:left="1800" w:header="1417" w:footer="1134"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94E8">
    <w:pPr>
      <w:pStyle w:val="5"/>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53CA6">
    <w:pPr>
      <w:pStyle w:val="5"/>
      <w:spacing w:before="120" w:after="120"/>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00833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B119BF7"/>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DVZFiCCwIAAA0EAAAOAAAAAAAAAAEAIAAAAB4BAABk&#10;cnMvZTJvRG9jLnhtbFBLBQYAAAAABgAGAFkBAACbBQAAAAA=&#10;">
              <v:fill on="f" focussize="0,0"/>
              <v:stroke on="f"/>
              <v:imagedata o:title=""/>
              <o:lock v:ext="edit" aspectratio="f"/>
              <v:textbox inset="0mm,0mm,0mm,0mm" style="mso-fit-shape-to-text:t;">
                <w:txbxContent>
                  <w:p w14:paraId="7B119BF7"/>
                </w:txbxContent>
              </v:textbox>
            </v:shape>
          </w:pict>
        </mc:Fallback>
      </mc:AlternateContent>
    </w:r>
  </w:p>
  <w:p w14:paraId="14B4A192">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23CD">
    <w:pPr>
      <w:pStyle w:val="5"/>
      <w:spacing w:before="120" w:after="120"/>
      <w:jc w:val="center"/>
    </w:pPr>
    <w:r>
      <mc:AlternateContent>
        <mc:Choice Requires="wps">
          <w:drawing>
            <wp:anchor distT="0" distB="0" distL="114300" distR="114300" simplePos="0" relativeHeight="251659264" behindDoc="0" locked="0" layoutInCell="1" allowOverlap="1">
              <wp:simplePos x="0" y="0"/>
              <wp:positionH relativeFrom="margin">
                <wp:posOffset>5128260</wp:posOffset>
              </wp:positionH>
              <wp:positionV relativeFrom="paragraph">
                <wp:posOffset>-17780</wp:posOffset>
              </wp:positionV>
              <wp:extent cx="100965" cy="283845"/>
              <wp:effectExtent l="0" t="0" r="13970" b="1905"/>
              <wp:wrapNone/>
              <wp:docPr id="2062129129"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0917" cy="283845"/>
                      </a:xfrm>
                      <a:prstGeom prst="rect">
                        <a:avLst/>
                      </a:prstGeom>
                      <a:noFill/>
                      <a:ln>
                        <a:noFill/>
                      </a:ln>
                      <a:effectLst/>
                    </wps:spPr>
                    <wps:txbx>
                      <w:txbxContent>
                        <w:p w14:paraId="653FCD26">
                          <w:pPr>
                            <w:pStyle w:val="5"/>
                            <w:spacing w:before="120" w:after="120"/>
                            <w:jc w:val="center"/>
                          </w:pPr>
                          <w:r>
                            <w:fldChar w:fldCharType="begin"/>
                          </w:r>
                          <w:r>
                            <w:instrText xml:space="preserve">PAGE   \* MERGEFORMAT</w:instrText>
                          </w:r>
                          <w:r>
                            <w:fldChar w:fldCharType="separate"/>
                          </w:r>
                          <w:r>
                            <w:rPr>
                              <w:lang w:val="zh-CN"/>
                            </w:rPr>
                            <w:t>3</w:t>
                          </w:r>
                          <w:r>
                            <w:fldChar w:fldCharType="end"/>
                          </w:r>
                        </w:p>
                      </w:txbxContent>
                    </wps:txbx>
                    <wps:bodyPr rot="0" vert="horz" wrap="square" lIns="0" tIns="0" rIns="0" bIns="0" anchor="t" anchorCtr="0" upright="1">
                      <a:spAutoFit/>
                    </wps:bodyPr>
                  </wps:wsp>
                </a:graphicData>
              </a:graphic>
            </wp:anchor>
          </w:drawing>
        </mc:Choice>
        <mc:Fallback>
          <w:pict>
            <v:shape id="文本框 4" o:spid="_x0000_s1026" o:spt="202" type="#_x0000_t202" style="position:absolute;left:0pt;margin-left:403.8pt;margin-top:-1.4pt;height:22.35pt;width:7.95pt;mso-position-horizontal-relative:margin;z-index:251659264;mso-width-relative:page;mso-height-relative:page;" filled="f" stroked="f" coordsize="21600,21600" o:gfxdata="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yWz+bXAAAACQEAAA8A&#10;AAAAAAAAAQAgAAAAIgAAAGRycy9kb3ducmV2LnhtbFBLAQIUABQAAAAIAIdO4kDfgEPFGAIAABsE&#10;AAAOAAAAAAAAAAEAIAAAACYBAABkcnMvZTJvRG9jLnhtbFBLBQYAAAAABgAGAFkBAACwBQAAAAA=&#10;">
              <v:fill on="f" focussize="0,0"/>
              <v:stroke on="f"/>
              <v:imagedata o:title=""/>
              <o:lock v:ext="edit" aspectratio="f"/>
              <v:textbox inset="0mm,0mm,0mm,0mm" style="mso-fit-shape-to-text:t;">
                <w:txbxContent>
                  <w:p w14:paraId="653FCD26">
                    <w:pPr>
                      <w:pStyle w:val="5"/>
                      <w:spacing w:before="120" w:after="120"/>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49F3">
    <w:pPr>
      <w:pStyle w:val="5"/>
      <w:spacing w:before="120" w:after="120"/>
      <w:ind w:firstLine="360"/>
      <w:jc w:val="center"/>
    </w:pPr>
    <w:r>
      <mc:AlternateContent>
        <mc:Choice Requires="wps">
          <w:drawing>
            <wp:anchor distT="0" distB="0" distL="114300" distR="114300" simplePos="0" relativeHeight="251660288" behindDoc="0" locked="0" layoutInCell="1" allowOverlap="1">
              <wp:simplePos x="0" y="0"/>
              <wp:positionH relativeFrom="margin">
                <wp:posOffset>-170815</wp:posOffset>
              </wp:positionH>
              <wp:positionV relativeFrom="paragraph">
                <wp:posOffset>0</wp:posOffset>
              </wp:positionV>
              <wp:extent cx="343535" cy="283845"/>
              <wp:effectExtent l="0" t="0" r="0" b="0"/>
              <wp:wrapNone/>
              <wp:docPr id="2744681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43535" cy="283845"/>
                      </a:xfrm>
                      <a:prstGeom prst="rect">
                        <a:avLst/>
                      </a:prstGeom>
                      <a:noFill/>
                      <a:ln>
                        <a:noFill/>
                      </a:ln>
                    </wps:spPr>
                    <wps:txbx>
                      <w:txbxContent>
                        <w:p w14:paraId="428C70B5">
                          <w:pPr>
                            <w:pStyle w:val="5"/>
                            <w:spacing w:before="120" w:after="120"/>
                            <w:ind w:firstLine="360"/>
                            <w:jc w:val="center"/>
                          </w:pPr>
                          <w:r>
                            <w:fldChar w:fldCharType="begin"/>
                          </w:r>
                          <w:r>
                            <w:instrText xml:space="preserve">PAGE   \* MERGEFORMAT</w:instrText>
                          </w:r>
                          <w:r>
                            <w:fldChar w:fldCharType="separate"/>
                          </w:r>
                          <w:r>
                            <w:rPr>
                              <w:lang w:val="zh-CN"/>
                            </w:rPr>
                            <w:t>10</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left:-13.45pt;margin-top:0pt;height:22.35pt;width:27.05pt;mso-position-horizontal-relative:margin;mso-wrap-style:none;z-index:251660288;mso-width-relative:page;mso-height-relative:page;" filled="f" stroked="f" coordsize="21600,21600" o:gfxdata="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0DpQnTAAAABgEAAA8AAAAAAAAAAQAgAAAA&#10;IgAAAGRycy9kb3ducmV2LnhtbFBLAQIUABQAAAAIAIdO4kDMrtrrEAIAAAkEAAAOAAAAAAAAAAEA&#10;IAAAACIBAABkcnMvZTJvRG9jLnhtbFBLBQYAAAAABgAGAFkBAACkBQAAAAA=&#10;">
              <v:fill on="f" focussize="0,0"/>
              <v:stroke on="f"/>
              <v:imagedata o:title=""/>
              <o:lock v:ext="edit" aspectratio="f"/>
              <v:textbox inset="0mm,0mm,0mm,0mm" style="mso-fit-shape-to-text:t;">
                <w:txbxContent>
                  <w:p w14:paraId="428C70B5">
                    <w:pPr>
                      <w:pStyle w:val="5"/>
                      <w:spacing w:before="120" w:after="120"/>
                      <w:ind w:firstLine="360"/>
                      <w:jc w:val="center"/>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8237">
    <w:pPr>
      <w:pStyle w:val="13"/>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BFC4">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53A5">
    <w:pPr>
      <w:pStyle w:val="6"/>
      <w:pBdr>
        <w:bottom w:val="none" w:color="auto" w:sz="0" w:space="1"/>
      </w:pBdr>
      <w:spacing w:before="120" w:after="120"/>
      <w:ind w:firstLine="2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22E2">
    <w:pPr>
      <w:pStyle w:val="6"/>
      <w:spacing w:before="120" w:after="120"/>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80EE6"/>
    <w:multiLevelType w:val="multilevel"/>
    <w:tmpl w:val="51A80EE6"/>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b/>
        <w:bCs/>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7FA53740"/>
    <w:multiLevelType w:val="multilevel"/>
    <w:tmpl w:val="7FA53740"/>
    <w:lvl w:ilvl="0" w:tentative="0">
      <w:start w:val="1"/>
      <w:numFmt w:val="chineseCountingThousand"/>
      <w:suff w:val="nothing"/>
      <w:lvlText w:val="%1、"/>
      <w:lvlJc w:val="left"/>
      <w:pPr>
        <w:ind w:left="4111" w:firstLine="0"/>
      </w:pPr>
      <w:rPr>
        <w:rFonts w:cs="Times New Roman"/>
        <w:b/>
        <w:bCs w:val="0"/>
        <w:i w:val="0"/>
        <w:iCs w:val="0"/>
        <w:caps w:val="0"/>
        <w:smallCaps w:val="0"/>
        <w:strike w:val="0"/>
        <w:dstrike w:val="0"/>
        <w:vanish w:val="0"/>
        <w:color w:val="000000"/>
        <w:spacing w:val="0"/>
        <w:position w:val="0"/>
        <w:u w:val="none"/>
        <w:vertAlign w:val="baseline"/>
        <w:lang w:val="en-US"/>
      </w:rPr>
    </w:lvl>
    <w:lvl w:ilvl="1" w:tentative="0">
      <w:start w:val="1"/>
      <w:numFmt w:val="chineseCountingThousand"/>
      <w:lvlText w:val="(%2)"/>
      <w:lvlJc w:val="left"/>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7E"/>
    <w:rsid w:val="00026B20"/>
    <w:rsid w:val="00041222"/>
    <w:rsid w:val="00064D54"/>
    <w:rsid w:val="000960E4"/>
    <w:rsid w:val="000A6178"/>
    <w:rsid w:val="000B5594"/>
    <w:rsid w:val="000D4B8D"/>
    <w:rsid w:val="00106214"/>
    <w:rsid w:val="001077C6"/>
    <w:rsid w:val="00112F12"/>
    <w:rsid w:val="001277E9"/>
    <w:rsid w:val="0016163B"/>
    <w:rsid w:val="00176F44"/>
    <w:rsid w:val="0018022E"/>
    <w:rsid w:val="00180CD9"/>
    <w:rsid w:val="001A3627"/>
    <w:rsid w:val="001B1C55"/>
    <w:rsid w:val="001D64F3"/>
    <w:rsid w:val="001D73E1"/>
    <w:rsid w:val="001E22AB"/>
    <w:rsid w:val="0022000C"/>
    <w:rsid w:val="002309AA"/>
    <w:rsid w:val="0025216B"/>
    <w:rsid w:val="00270C40"/>
    <w:rsid w:val="00285670"/>
    <w:rsid w:val="0029730F"/>
    <w:rsid w:val="002D4226"/>
    <w:rsid w:val="002F1EF5"/>
    <w:rsid w:val="00317630"/>
    <w:rsid w:val="0033079F"/>
    <w:rsid w:val="00390B87"/>
    <w:rsid w:val="003E06CC"/>
    <w:rsid w:val="003F70C4"/>
    <w:rsid w:val="0040711A"/>
    <w:rsid w:val="004244D5"/>
    <w:rsid w:val="00485FF4"/>
    <w:rsid w:val="00496E26"/>
    <w:rsid w:val="004B06CA"/>
    <w:rsid w:val="004F1033"/>
    <w:rsid w:val="004F4B77"/>
    <w:rsid w:val="004F6E20"/>
    <w:rsid w:val="005119FB"/>
    <w:rsid w:val="0053764E"/>
    <w:rsid w:val="005813F4"/>
    <w:rsid w:val="005C05CD"/>
    <w:rsid w:val="005D40DD"/>
    <w:rsid w:val="00610CEC"/>
    <w:rsid w:val="00622633"/>
    <w:rsid w:val="00624B09"/>
    <w:rsid w:val="0063047D"/>
    <w:rsid w:val="006646B5"/>
    <w:rsid w:val="00677842"/>
    <w:rsid w:val="00682087"/>
    <w:rsid w:val="00690389"/>
    <w:rsid w:val="006F753D"/>
    <w:rsid w:val="007179EC"/>
    <w:rsid w:val="00727C4D"/>
    <w:rsid w:val="0075671C"/>
    <w:rsid w:val="007B2CBD"/>
    <w:rsid w:val="007C0B43"/>
    <w:rsid w:val="008058B5"/>
    <w:rsid w:val="00820CC3"/>
    <w:rsid w:val="0083339D"/>
    <w:rsid w:val="00846050"/>
    <w:rsid w:val="008D05DA"/>
    <w:rsid w:val="008F3B86"/>
    <w:rsid w:val="00962CC2"/>
    <w:rsid w:val="009647D1"/>
    <w:rsid w:val="0098232E"/>
    <w:rsid w:val="009A1451"/>
    <w:rsid w:val="009E54D9"/>
    <w:rsid w:val="00A00845"/>
    <w:rsid w:val="00A03837"/>
    <w:rsid w:val="00A05960"/>
    <w:rsid w:val="00A361CA"/>
    <w:rsid w:val="00A84913"/>
    <w:rsid w:val="00AB1871"/>
    <w:rsid w:val="00AD75B4"/>
    <w:rsid w:val="00AE368C"/>
    <w:rsid w:val="00B05519"/>
    <w:rsid w:val="00B33991"/>
    <w:rsid w:val="00B503A3"/>
    <w:rsid w:val="00B5692B"/>
    <w:rsid w:val="00B70DCA"/>
    <w:rsid w:val="00BB7CAC"/>
    <w:rsid w:val="00BF5DBB"/>
    <w:rsid w:val="00C25A93"/>
    <w:rsid w:val="00C27772"/>
    <w:rsid w:val="00C453AE"/>
    <w:rsid w:val="00C70C7E"/>
    <w:rsid w:val="00C744CA"/>
    <w:rsid w:val="00CB544D"/>
    <w:rsid w:val="00CB6B23"/>
    <w:rsid w:val="00CE465F"/>
    <w:rsid w:val="00D100D2"/>
    <w:rsid w:val="00D144EC"/>
    <w:rsid w:val="00D15415"/>
    <w:rsid w:val="00D159F0"/>
    <w:rsid w:val="00D26B1B"/>
    <w:rsid w:val="00D365A3"/>
    <w:rsid w:val="00D37981"/>
    <w:rsid w:val="00DB3168"/>
    <w:rsid w:val="00DB49FF"/>
    <w:rsid w:val="00DD7842"/>
    <w:rsid w:val="00E02C0E"/>
    <w:rsid w:val="00E11419"/>
    <w:rsid w:val="00E56A6A"/>
    <w:rsid w:val="00E81DA0"/>
    <w:rsid w:val="00EA3378"/>
    <w:rsid w:val="00EC4BE6"/>
    <w:rsid w:val="00ED1BD8"/>
    <w:rsid w:val="00EE3FC8"/>
    <w:rsid w:val="00F05273"/>
    <w:rsid w:val="00F12058"/>
    <w:rsid w:val="00F13BA8"/>
    <w:rsid w:val="00F42EEB"/>
    <w:rsid w:val="00F441FF"/>
    <w:rsid w:val="00F757C6"/>
    <w:rsid w:val="00F80F41"/>
    <w:rsid w:val="00F83F8F"/>
    <w:rsid w:val="00F87E98"/>
    <w:rsid w:val="00F94DA2"/>
    <w:rsid w:val="00FA4B80"/>
    <w:rsid w:val="00FB71C2"/>
    <w:rsid w:val="0E972921"/>
    <w:rsid w:val="239B2042"/>
    <w:rsid w:val="36FF38E0"/>
    <w:rsid w:val="3F636838"/>
    <w:rsid w:val="556C1CBF"/>
    <w:rsid w:val="6116011B"/>
    <w:rsid w:val="7A20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1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标题 1 字符"/>
    <w:basedOn w:val="8"/>
    <w:link w:val="2"/>
    <w:qFormat/>
    <w:uiPriority w:val="0"/>
    <w:rPr>
      <w:rFonts w:ascii="Times New Roman" w:hAnsi="Times New Roman" w:eastAsia="宋体" w:cs="Times New Roman"/>
      <w:b/>
      <w:bCs/>
      <w:kern w:val="44"/>
      <w:sz w:val="44"/>
      <w:szCs w:val="44"/>
    </w:rPr>
  </w:style>
  <w:style w:type="paragraph" w:customStyle="1" w:styleId="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styleId="14">
    <w:name w:val="List Paragraph"/>
    <w:basedOn w:val="1"/>
    <w:qFormat/>
    <w:uiPriority w:val="34"/>
    <w:pPr>
      <w:ind w:firstLine="420" w:firstLineChars="200"/>
    </w:pPr>
  </w:style>
  <w:style w:type="character" w:customStyle="1" w:styleId="15">
    <w:name w:val="标题 4 字符"/>
    <w:basedOn w:val="8"/>
    <w:link w:val="3"/>
    <w:semiHidden/>
    <w:qFormat/>
    <w:uiPriority w:val="9"/>
    <w:rPr>
      <w:rFonts w:asciiTheme="majorHAnsi" w:hAnsiTheme="majorHAnsi" w:eastAsiaTheme="majorEastAsia" w:cstheme="majorBidi"/>
      <w:b/>
      <w:bCs/>
      <w:sz w:val="28"/>
      <w:szCs w:val="28"/>
    </w:rPr>
  </w:style>
  <w:style w:type="paragraph" w:customStyle="1" w:styleId="16">
    <w:name w:val="Revision"/>
    <w:hidden/>
    <w:unhideWhenUsed/>
    <w:qFormat/>
    <w:uiPriority w:val="99"/>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B1933-6591-4270-9CC3-B3EB31ADDC1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4090</Words>
  <Characters>4225</Characters>
  <Lines>29</Lines>
  <Paragraphs>8</Paragraphs>
  <TotalTime>0</TotalTime>
  <ScaleCrop>false</ScaleCrop>
  <LinksUpToDate>false</LinksUpToDate>
  <CharactersWithSpaces>4234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2025-11-20T06:56:00Z</dcterms:created>
  <dc:creator>光 阳</dc:creator>
  <cp:lastModifiedBy>东楠西北中</cp:lastModifiedBy>
  <dcterms:modified xsi:type="dcterms:W3CDTF">2025-11-25T03:00:32Z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eyJoZGlkIjoiYzlkYWYyZTQ1ZTEzNjk4ZDgyZjlkMjdmNDJhY2YxY2EiLCJ1c2VySWQiOiIxMDU1NjkwNjQwIn0=</vt:lpwstr>
  </property>
  <property fmtid="{D5CDD505-2E9C-101B-9397-08002B2CF9AE}" pid="3" name="KSOProductBuildVer">
    <vt:lpwstr>2052-12.1.0.23542</vt:lpwstr>
  </property>
  <property fmtid="{D5CDD505-2E9C-101B-9397-08002B2CF9AE}" pid="4" name="ICV">
    <vt:lpwstr>B4B7DA2630584DB889FEE162EEC19495_13</vt:lpwstr>
  </property>
</Properties>
</file>