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70DA6" w14:textId="77777777" w:rsidR="000F3EC2" w:rsidRDefault="000F3EC2">
      <w:pPr>
        <w:jc w:val="center"/>
        <w:rPr>
          <w:rFonts w:ascii="宋体" w:hAnsi="宋体" w:hint="eastAsia"/>
          <w:b/>
          <w:spacing w:val="60"/>
          <w:sz w:val="28"/>
          <w:szCs w:val="28"/>
        </w:rPr>
      </w:pPr>
    </w:p>
    <w:p w14:paraId="32136F66" w14:textId="77777777" w:rsidR="000F3EC2" w:rsidRDefault="000F3EC2">
      <w:pPr>
        <w:spacing w:before="163" w:after="163"/>
        <w:ind w:firstLine="560"/>
        <w:rPr>
          <w:sz w:val="28"/>
          <w:szCs w:val="28"/>
        </w:rPr>
      </w:pPr>
    </w:p>
    <w:p w14:paraId="2EA56A95" w14:textId="77777777" w:rsidR="000F3EC2" w:rsidRDefault="000F3EC2">
      <w:pPr>
        <w:spacing w:before="163" w:after="163"/>
        <w:ind w:firstLine="560"/>
        <w:rPr>
          <w:sz w:val="28"/>
          <w:szCs w:val="28"/>
        </w:rPr>
      </w:pPr>
    </w:p>
    <w:p w14:paraId="1AF69765" w14:textId="77777777" w:rsidR="000F3EC2" w:rsidRDefault="00000000">
      <w:pPr>
        <w:spacing w:afterLines="100" w:after="326"/>
        <w:jc w:val="center"/>
        <w:outlineLvl w:val="0"/>
        <w:rPr>
          <w:rFonts w:ascii="黑体" w:eastAsia="黑体" w:hAnsi="宋体" w:cs="黑体" w:hint="eastAsia"/>
          <w:b/>
          <w:sz w:val="52"/>
          <w:szCs w:val="52"/>
          <w:lang w:bidi="ar"/>
        </w:rPr>
      </w:pPr>
      <w:bookmarkStart w:id="0" w:name="_Toc23907"/>
      <w:bookmarkStart w:id="1" w:name="_Toc21842"/>
      <w:r>
        <w:rPr>
          <w:rFonts w:ascii="黑体" w:eastAsia="黑体" w:hAnsi="宋体" w:cs="黑体" w:hint="eastAsia"/>
          <w:b/>
          <w:sz w:val="52"/>
          <w:szCs w:val="52"/>
          <w:lang w:bidi="ar"/>
        </w:rPr>
        <w:t>深圳市低碳公共出行碳普惠方法学编制说明</w:t>
      </w:r>
      <w:bookmarkEnd w:id="0"/>
      <w:bookmarkEnd w:id="1"/>
    </w:p>
    <w:p w14:paraId="011AB930" w14:textId="77777777" w:rsidR="000F3EC2" w:rsidRDefault="00000000">
      <w:pPr>
        <w:spacing w:afterLines="100" w:after="326"/>
        <w:jc w:val="center"/>
        <w:outlineLvl w:val="0"/>
        <w:rPr>
          <w:rFonts w:ascii="黑体" w:eastAsia="黑体" w:hAnsi="黑体" w:cs="黑体" w:hint="eastAsia"/>
          <w:b/>
          <w:bCs/>
        </w:rPr>
      </w:pPr>
      <w:bookmarkStart w:id="2" w:name="_Toc21558"/>
      <w:bookmarkStart w:id="3" w:name="_Toc22971"/>
      <w:r>
        <w:rPr>
          <w:rFonts w:ascii="黑体" w:eastAsia="黑体" w:hAnsi="黑体" w:cs="黑体" w:hint="eastAsia"/>
          <w:b/>
          <w:bCs/>
        </w:rPr>
        <w:t>（征求意见稿）</w:t>
      </w:r>
      <w:bookmarkEnd w:id="2"/>
      <w:bookmarkEnd w:id="3"/>
    </w:p>
    <w:p w14:paraId="793F2274" w14:textId="77777777" w:rsidR="000F3EC2" w:rsidRDefault="000F3EC2">
      <w:pPr>
        <w:adjustRightInd w:val="0"/>
        <w:snapToGrid w:val="0"/>
        <w:jc w:val="center"/>
        <w:rPr>
          <w:sz w:val="28"/>
          <w:szCs w:val="28"/>
        </w:rPr>
      </w:pPr>
    </w:p>
    <w:p w14:paraId="0619A8F1" w14:textId="77777777" w:rsidR="000F3EC2" w:rsidRDefault="000F3EC2">
      <w:pPr>
        <w:jc w:val="center"/>
        <w:rPr>
          <w:rFonts w:ascii="宋体" w:hAnsi="宋体" w:hint="eastAsia"/>
          <w:sz w:val="28"/>
          <w:szCs w:val="28"/>
        </w:rPr>
      </w:pPr>
    </w:p>
    <w:p w14:paraId="2172DAAD" w14:textId="77777777" w:rsidR="000F3EC2" w:rsidRDefault="000F3EC2">
      <w:pPr>
        <w:jc w:val="center"/>
        <w:rPr>
          <w:rFonts w:ascii="宋体" w:hAnsi="宋体" w:hint="eastAsia"/>
          <w:sz w:val="28"/>
          <w:szCs w:val="28"/>
        </w:rPr>
      </w:pPr>
    </w:p>
    <w:p w14:paraId="4E3BF05E" w14:textId="77777777" w:rsidR="000F3EC2" w:rsidRDefault="000F3EC2">
      <w:pPr>
        <w:jc w:val="center"/>
        <w:rPr>
          <w:rFonts w:ascii="宋体" w:hAnsi="宋体" w:hint="eastAsia"/>
          <w:sz w:val="28"/>
          <w:szCs w:val="28"/>
        </w:rPr>
      </w:pPr>
    </w:p>
    <w:p w14:paraId="6C8137F6" w14:textId="77777777" w:rsidR="000F3EC2" w:rsidRDefault="000F3EC2">
      <w:pPr>
        <w:jc w:val="center"/>
        <w:rPr>
          <w:rFonts w:ascii="宋体" w:hAnsi="宋体" w:hint="eastAsia"/>
          <w:sz w:val="28"/>
          <w:szCs w:val="28"/>
        </w:rPr>
      </w:pPr>
    </w:p>
    <w:p w14:paraId="344CD533" w14:textId="77777777" w:rsidR="000F3EC2" w:rsidRDefault="000F3EC2">
      <w:pPr>
        <w:jc w:val="center"/>
        <w:rPr>
          <w:rFonts w:ascii="宋体" w:hAnsi="宋体" w:hint="eastAsia"/>
          <w:sz w:val="28"/>
          <w:szCs w:val="28"/>
        </w:rPr>
      </w:pPr>
    </w:p>
    <w:p w14:paraId="029BD0AF" w14:textId="77777777" w:rsidR="000F3EC2" w:rsidRDefault="000F3EC2">
      <w:pPr>
        <w:jc w:val="center"/>
        <w:rPr>
          <w:rFonts w:ascii="宋体" w:hAnsi="宋体" w:hint="eastAsia"/>
          <w:sz w:val="28"/>
          <w:szCs w:val="28"/>
        </w:rPr>
      </w:pPr>
    </w:p>
    <w:p w14:paraId="2EA1842B" w14:textId="77777777" w:rsidR="000F3EC2" w:rsidRDefault="000F3EC2">
      <w:pPr>
        <w:adjustRightInd w:val="0"/>
        <w:snapToGrid w:val="0"/>
        <w:jc w:val="center"/>
        <w:rPr>
          <w:rFonts w:ascii="宋体" w:hAnsi="宋体" w:hint="eastAsia"/>
          <w:b/>
          <w:bCs/>
          <w:sz w:val="28"/>
          <w:szCs w:val="28"/>
        </w:rPr>
      </w:pPr>
    </w:p>
    <w:p w14:paraId="0558411D" w14:textId="77777777" w:rsidR="000F3EC2" w:rsidRDefault="000F3EC2">
      <w:pPr>
        <w:adjustRightInd w:val="0"/>
        <w:snapToGrid w:val="0"/>
        <w:jc w:val="center"/>
        <w:rPr>
          <w:rFonts w:ascii="宋体" w:hAnsi="宋体" w:hint="eastAsia"/>
          <w:b/>
          <w:bCs/>
          <w:sz w:val="28"/>
          <w:szCs w:val="28"/>
        </w:rPr>
      </w:pPr>
    </w:p>
    <w:p w14:paraId="25C6B7B3" w14:textId="77777777" w:rsidR="000F3EC2" w:rsidRDefault="000F3EC2">
      <w:pPr>
        <w:adjustRightInd w:val="0"/>
        <w:snapToGrid w:val="0"/>
        <w:jc w:val="center"/>
        <w:rPr>
          <w:rFonts w:ascii="宋体" w:hAnsi="宋体" w:hint="eastAsia"/>
          <w:b/>
          <w:bCs/>
          <w:sz w:val="28"/>
          <w:szCs w:val="28"/>
        </w:rPr>
      </w:pPr>
    </w:p>
    <w:p w14:paraId="5382106A" w14:textId="77777777" w:rsidR="000F3EC2" w:rsidRDefault="000F3EC2">
      <w:pPr>
        <w:adjustRightInd w:val="0"/>
        <w:snapToGrid w:val="0"/>
        <w:jc w:val="center"/>
        <w:rPr>
          <w:rFonts w:ascii="宋体" w:hAnsi="宋体" w:hint="eastAsia"/>
          <w:b/>
          <w:bCs/>
          <w:sz w:val="28"/>
          <w:szCs w:val="28"/>
        </w:rPr>
      </w:pPr>
    </w:p>
    <w:p w14:paraId="3FBC89CD" w14:textId="77777777" w:rsidR="000F3EC2" w:rsidRDefault="000F3EC2">
      <w:pPr>
        <w:adjustRightInd w:val="0"/>
        <w:snapToGrid w:val="0"/>
        <w:jc w:val="center"/>
        <w:rPr>
          <w:rFonts w:ascii="宋体" w:hAnsi="宋体" w:hint="eastAsia"/>
          <w:b/>
          <w:bCs/>
          <w:sz w:val="28"/>
          <w:szCs w:val="28"/>
        </w:rPr>
      </w:pPr>
    </w:p>
    <w:p w14:paraId="3EFF4867" w14:textId="77777777" w:rsidR="000F3EC2" w:rsidRDefault="00000000">
      <w:pPr>
        <w:spacing w:before="163" w:after="163"/>
        <w:jc w:val="center"/>
        <w:rPr>
          <w:rFonts w:ascii="宋体" w:eastAsia="黑体" w:hAnsi="宋体" w:hint="eastAsia"/>
          <w:sz w:val="28"/>
          <w:szCs w:val="28"/>
        </w:rPr>
        <w:sectPr w:rsidR="000F3EC2">
          <w:headerReference w:type="default" r:id="rId10"/>
          <w:footerReference w:type="even" r:id="rId11"/>
          <w:footerReference w:type="default" r:id="rId12"/>
          <w:pgSz w:w="11906" w:h="16838"/>
          <w:pgMar w:top="1440" w:right="1800" w:bottom="1440" w:left="1800" w:header="1417" w:footer="1134" w:gutter="0"/>
          <w:cols w:space="720"/>
          <w:docGrid w:type="lines" w:linePitch="326"/>
        </w:sectPr>
      </w:pPr>
      <w:r>
        <w:rPr>
          <w:rFonts w:ascii="黑体" w:eastAsia="黑体" w:hAnsi="黑体" w:cs="黑体" w:hint="eastAsia"/>
        </w:rPr>
        <w:t>二零二五年十一月</w:t>
      </w:r>
    </w:p>
    <w:p w14:paraId="62896378" w14:textId="77777777" w:rsidR="000F3EC2" w:rsidRDefault="00000000">
      <w:pPr>
        <w:pStyle w:val="1"/>
        <w:numPr>
          <w:ilvl w:val="0"/>
          <w:numId w:val="7"/>
        </w:numPr>
        <w:spacing w:before="0" w:after="0" w:line="360" w:lineRule="auto"/>
        <w:ind w:left="0" w:firstLineChars="200" w:firstLine="602"/>
        <w:jc w:val="left"/>
        <w:rPr>
          <w:sz w:val="30"/>
        </w:rPr>
      </w:pPr>
      <w:bookmarkStart w:id="4" w:name="_Toc26884"/>
      <w:bookmarkStart w:id="5" w:name="_Toc1690"/>
      <w:bookmarkStart w:id="6" w:name="_Toc29682"/>
      <w:bookmarkStart w:id="7" w:name="_Toc6346"/>
      <w:bookmarkStart w:id="8" w:name="_Toc88473800"/>
      <w:bookmarkStart w:id="9" w:name="_Toc63435835"/>
      <w:r>
        <w:rPr>
          <w:rFonts w:hint="eastAsia"/>
          <w:sz w:val="30"/>
        </w:rPr>
        <w:lastRenderedPageBreak/>
        <w:t>编制背景</w:t>
      </w:r>
      <w:bookmarkEnd w:id="4"/>
      <w:bookmarkEnd w:id="5"/>
    </w:p>
    <w:bookmarkEnd w:id="6"/>
    <w:bookmarkEnd w:id="7"/>
    <w:bookmarkEnd w:id="8"/>
    <w:bookmarkEnd w:id="9"/>
    <w:p w14:paraId="4BB9DA72" w14:textId="77777777" w:rsidR="000F3EC2" w:rsidRDefault="00000000">
      <w:pPr>
        <w:ind w:firstLineChars="200" w:firstLine="560"/>
        <w:rPr>
          <w:rFonts w:ascii="宋体" w:hAnsi="宋体" w:hint="eastAsia"/>
          <w:sz w:val="28"/>
          <w:szCs w:val="28"/>
        </w:rPr>
      </w:pPr>
      <w:r>
        <w:rPr>
          <w:rFonts w:ascii="宋体" w:hAnsi="宋体" w:hint="eastAsia"/>
          <w:sz w:val="28"/>
          <w:szCs w:val="28"/>
        </w:rPr>
        <w:t>2021年9月，国务院发布的《关于完整准确全面贯彻新发展理念做好碳达峰碳中和工作的意见》提出，“加快形成绿色生产生活方式。倡导绿色低碳生活方式。”同年10月，国务院发布《2030年前碳达峰行动方案》提出，“增强社会公众绿色低碳意识；推广绿色低碳生活方式。”以上两个国家</w:t>
      </w:r>
      <w:proofErr w:type="gramStart"/>
      <w:r>
        <w:rPr>
          <w:rFonts w:ascii="宋体" w:hAnsi="宋体" w:hint="eastAsia"/>
          <w:sz w:val="28"/>
          <w:szCs w:val="28"/>
        </w:rPr>
        <w:t>碳达峰碳</w:t>
      </w:r>
      <w:proofErr w:type="gramEnd"/>
      <w:r>
        <w:rPr>
          <w:rFonts w:ascii="宋体" w:hAnsi="宋体" w:hint="eastAsia"/>
          <w:sz w:val="28"/>
          <w:szCs w:val="28"/>
        </w:rPr>
        <w:t>中和顶层设计文件均对鼓励社会公众开展绿色生活方式提出了要求。</w:t>
      </w:r>
    </w:p>
    <w:p w14:paraId="33FE17D0" w14:textId="77777777" w:rsidR="000F3EC2" w:rsidRDefault="00000000">
      <w:pPr>
        <w:ind w:firstLineChars="200" w:firstLine="560"/>
        <w:rPr>
          <w:rFonts w:ascii="宋体" w:hAnsi="宋体" w:hint="eastAsia"/>
          <w:sz w:val="28"/>
          <w:szCs w:val="28"/>
        </w:rPr>
      </w:pPr>
      <w:r>
        <w:rPr>
          <w:rFonts w:ascii="宋体" w:hAnsi="宋体" w:hint="eastAsia"/>
          <w:sz w:val="28"/>
          <w:szCs w:val="28"/>
        </w:rPr>
        <w:t>2021年11月深圳市人民政府办公厅印发《深圳碳普惠体系建设工作方案》（简称《工作方案》），提出建立深圳碳普惠体系，通过量化小微企业、社会公众低碳行为的减排量，并通过政策鼓励、商业激励、公益支持、市场交易等手段引导绿色低碳行为，从而提升社会公众的绿色低碳生产生活意识与意愿。</w:t>
      </w:r>
    </w:p>
    <w:p w14:paraId="35E45C95" w14:textId="77777777" w:rsidR="000F3EC2" w:rsidRDefault="00000000">
      <w:pPr>
        <w:ind w:firstLineChars="200" w:firstLine="560"/>
        <w:rPr>
          <w:rFonts w:ascii="宋体" w:hAnsi="宋体" w:hint="eastAsia"/>
          <w:sz w:val="28"/>
          <w:szCs w:val="28"/>
        </w:rPr>
      </w:pPr>
      <w:r>
        <w:rPr>
          <w:rFonts w:ascii="宋体" w:hAnsi="宋体" w:hint="eastAsia"/>
          <w:sz w:val="28"/>
          <w:szCs w:val="28"/>
        </w:rPr>
        <w:t>深圳碳普惠体系包含绿色出行、绿色消费、绿色生活、绿色公益、小</w:t>
      </w:r>
      <w:proofErr w:type="gramStart"/>
      <w:r>
        <w:rPr>
          <w:rFonts w:ascii="宋体" w:hAnsi="宋体" w:hint="eastAsia"/>
          <w:sz w:val="28"/>
          <w:szCs w:val="28"/>
        </w:rPr>
        <w:t>微企业</w:t>
      </w:r>
      <w:proofErr w:type="gramEnd"/>
      <w:r>
        <w:rPr>
          <w:rFonts w:ascii="宋体" w:hAnsi="宋体" w:hint="eastAsia"/>
          <w:sz w:val="28"/>
          <w:szCs w:val="28"/>
        </w:rPr>
        <w:t>节能减</w:t>
      </w:r>
      <w:proofErr w:type="gramStart"/>
      <w:r>
        <w:rPr>
          <w:rFonts w:ascii="宋体" w:hAnsi="宋体" w:hint="eastAsia"/>
          <w:sz w:val="28"/>
          <w:szCs w:val="28"/>
        </w:rPr>
        <w:t>排项目</w:t>
      </w:r>
      <w:proofErr w:type="gramEnd"/>
      <w:r>
        <w:rPr>
          <w:rFonts w:ascii="宋体" w:hAnsi="宋体" w:hint="eastAsia"/>
          <w:sz w:val="28"/>
          <w:szCs w:val="28"/>
        </w:rPr>
        <w:t>开发等五类低碳场景体系，其中公共交通出行是公众绿色出行方式之一。本方法学编制旨在指导社会公众采用低碳公共交通出行方式所产生的减排量的核算，从而服务公共交通出行碳普惠核证减排量的开发，保障碳普惠体系的规范有序发展。</w:t>
      </w:r>
    </w:p>
    <w:p w14:paraId="14C087B0" w14:textId="77777777" w:rsidR="000F3EC2" w:rsidRDefault="00000000">
      <w:pPr>
        <w:pStyle w:val="1"/>
        <w:numPr>
          <w:ilvl w:val="0"/>
          <w:numId w:val="7"/>
        </w:numPr>
        <w:spacing w:before="0" w:after="0" w:line="360" w:lineRule="auto"/>
        <w:ind w:left="0" w:firstLineChars="200" w:firstLine="602"/>
        <w:jc w:val="left"/>
        <w:rPr>
          <w:sz w:val="30"/>
        </w:rPr>
      </w:pPr>
      <w:bookmarkStart w:id="10" w:name="_Toc16077"/>
      <w:bookmarkStart w:id="11" w:name="_Toc12232"/>
      <w:bookmarkStart w:id="12" w:name="_Toc88473801"/>
      <w:r>
        <w:rPr>
          <w:rFonts w:hint="eastAsia"/>
          <w:sz w:val="30"/>
        </w:rPr>
        <w:t>工作简况</w:t>
      </w:r>
      <w:bookmarkEnd w:id="10"/>
      <w:bookmarkEnd w:id="11"/>
    </w:p>
    <w:p w14:paraId="39223052" w14:textId="77777777" w:rsidR="000F3EC2" w:rsidRDefault="00000000">
      <w:pPr>
        <w:spacing w:line="360" w:lineRule="auto"/>
        <w:ind w:firstLineChars="200" w:firstLine="562"/>
        <w:jc w:val="left"/>
        <w:outlineLvl w:val="1"/>
        <w:rPr>
          <w:rFonts w:ascii="宋体" w:hAnsi="宋体" w:hint="eastAsia"/>
          <w:b/>
          <w:sz w:val="28"/>
          <w:szCs w:val="28"/>
        </w:rPr>
      </w:pPr>
      <w:bookmarkStart w:id="13" w:name="_Toc9312"/>
      <w:r>
        <w:rPr>
          <w:rFonts w:ascii="宋体" w:hAnsi="宋体"/>
          <w:b/>
          <w:sz w:val="28"/>
          <w:szCs w:val="28"/>
        </w:rPr>
        <w:t xml:space="preserve">1. </w:t>
      </w:r>
      <w:r>
        <w:rPr>
          <w:rFonts w:ascii="宋体" w:hAnsi="宋体" w:hint="eastAsia"/>
          <w:b/>
          <w:sz w:val="28"/>
          <w:szCs w:val="28"/>
        </w:rPr>
        <w:t>任务来源</w:t>
      </w:r>
      <w:bookmarkEnd w:id="13"/>
    </w:p>
    <w:p w14:paraId="6FA49B45" w14:textId="77777777" w:rsidR="000F3EC2"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结合深圳市绿色低碳发展要求，基于居民低碳公共出行场景，修订《深圳市低碳公共出行碳普惠方法学（试行）》，以方法</w:t>
      </w:r>
      <w:proofErr w:type="gramStart"/>
      <w:r>
        <w:rPr>
          <w:rFonts w:ascii="宋体" w:hAnsi="宋体" w:hint="eastAsia"/>
          <w:sz w:val="28"/>
          <w:szCs w:val="28"/>
        </w:rPr>
        <w:t>学规范减</w:t>
      </w:r>
      <w:proofErr w:type="gramEnd"/>
      <w:r>
        <w:rPr>
          <w:rFonts w:ascii="宋体" w:hAnsi="宋体" w:hint="eastAsia"/>
          <w:sz w:val="28"/>
          <w:szCs w:val="28"/>
        </w:rPr>
        <w:lastRenderedPageBreak/>
        <w:t>排量核算。为此，深圳绿色交易所有限联合深圳市深圳通有限公司开展《深圳市低碳公共出行碳普惠方法学（试行）》，修订工作。</w:t>
      </w:r>
    </w:p>
    <w:p w14:paraId="18E58BF9" w14:textId="77777777" w:rsidR="000F3EC2" w:rsidRDefault="00000000">
      <w:pPr>
        <w:spacing w:line="360" w:lineRule="auto"/>
        <w:ind w:firstLineChars="200" w:firstLine="562"/>
        <w:jc w:val="left"/>
        <w:outlineLvl w:val="1"/>
        <w:rPr>
          <w:rFonts w:ascii="宋体" w:hAnsi="宋体" w:hint="eastAsia"/>
          <w:b/>
          <w:sz w:val="28"/>
          <w:szCs w:val="28"/>
        </w:rPr>
      </w:pPr>
      <w:bookmarkStart w:id="14" w:name="_Toc8870"/>
      <w:r>
        <w:rPr>
          <w:rFonts w:ascii="宋体" w:hAnsi="宋体"/>
          <w:b/>
          <w:sz w:val="28"/>
          <w:szCs w:val="28"/>
        </w:rPr>
        <w:t>2. 编制目的</w:t>
      </w:r>
      <w:bookmarkEnd w:id="14"/>
    </w:p>
    <w:p w14:paraId="39378422" w14:textId="77777777" w:rsidR="000F3EC2" w:rsidRDefault="00000000">
      <w:pPr>
        <w:spacing w:line="360" w:lineRule="auto"/>
        <w:ind w:firstLineChars="200" w:firstLine="560"/>
        <w:rPr>
          <w:rFonts w:ascii="宋体" w:hAnsi="宋体" w:hint="eastAsia"/>
          <w:sz w:val="28"/>
          <w:szCs w:val="28"/>
        </w:rPr>
      </w:pPr>
      <w:r>
        <w:rPr>
          <w:rFonts w:ascii="宋体" w:hAnsi="宋体" w:hint="eastAsia"/>
          <w:sz w:val="28"/>
          <w:szCs w:val="28"/>
        </w:rPr>
        <w:t>在相关管理办法的精神指导下，为进一步推进全社会低碳行动，探索鼓励绿色低碳生产生活方式的普惠性工作机制，开发了《深圳市低碳公共出行碳普惠方法学》，以期为碳普惠机制核证减排量管理工作的实施提供数据和方法学的支撑，并为碳普惠机制的进一步推广奠定基础。</w:t>
      </w:r>
    </w:p>
    <w:p w14:paraId="21D4DA6E" w14:textId="77777777" w:rsidR="000F3EC2"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深圳碳普惠体系包含绿色出行、绿色消费、绿色生活、绿色公益、小</w:t>
      </w:r>
      <w:proofErr w:type="gramStart"/>
      <w:r>
        <w:rPr>
          <w:rFonts w:ascii="宋体" w:hAnsi="宋体" w:hint="eastAsia"/>
          <w:sz w:val="28"/>
          <w:szCs w:val="28"/>
        </w:rPr>
        <w:t>微企业</w:t>
      </w:r>
      <w:proofErr w:type="gramEnd"/>
      <w:r>
        <w:rPr>
          <w:rFonts w:ascii="宋体" w:hAnsi="宋体" w:hint="eastAsia"/>
          <w:sz w:val="28"/>
          <w:szCs w:val="28"/>
        </w:rPr>
        <w:t>节能减</w:t>
      </w:r>
      <w:proofErr w:type="gramStart"/>
      <w:r>
        <w:rPr>
          <w:rFonts w:ascii="宋体" w:hAnsi="宋体" w:hint="eastAsia"/>
          <w:sz w:val="28"/>
          <w:szCs w:val="28"/>
        </w:rPr>
        <w:t>排项目</w:t>
      </w:r>
      <w:proofErr w:type="gramEnd"/>
      <w:r>
        <w:rPr>
          <w:rFonts w:ascii="宋体" w:hAnsi="宋体" w:hint="eastAsia"/>
          <w:sz w:val="28"/>
          <w:szCs w:val="28"/>
        </w:rPr>
        <w:t>开发等五类低碳场景体系，其中低碳公共出行是绿色出行相关技术之一。本方法学编制旨在引导公众低碳出行，乘坐公共汽车、地铁低碳交通工具出行产生的减排量进行核算，产生收益返还给用户，激励公众</w:t>
      </w:r>
      <w:proofErr w:type="gramStart"/>
      <w:r>
        <w:rPr>
          <w:rFonts w:ascii="宋体" w:hAnsi="宋体" w:hint="eastAsia"/>
          <w:sz w:val="28"/>
          <w:szCs w:val="28"/>
        </w:rPr>
        <w:t>践行</w:t>
      </w:r>
      <w:proofErr w:type="gramEnd"/>
      <w:r>
        <w:rPr>
          <w:rFonts w:ascii="宋体" w:hAnsi="宋体" w:hint="eastAsia"/>
          <w:sz w:val="28"/>
          <w:szCs w:val="28"/>
        </w:rPr>
        <w:t>低碳出行，从而保障碳普惠体系的规范有序发展。</w:t>
      </w:r>
    </w:p>
    <w:p w14:paraId="7DCC6BC6" w14:textId="77777777" w:rsidR="000F3EC2" w:rsidRDefault="00000000">
      <w:pPr>
        <w:spacing w:line="360" w:lineRule="auto"/>
        <w:ind w:firstLineChars="200" w:firstLine="562"/>
        <w:jc w:val="left"/>
        <w:outlineLvl w:val="1"/>
        <w:rPr>
          <w:rFonts w:ascii="宋体" w:hAnsi="宋体" w:hint="eastAsia"/>
          <w:b/>
          <w:sz w:val="28"/>
          <w:szCs w:val="28"/>
        </w:rPr>
      </w:pPr>
      <w:bookmarkStart w:id="15" w:name="_Toc20053"/>
      <w:r>
        <w:rPr>
          <w:rFonts w:ascii="宋体" w:hAnsi="宋体"/>
          <w:b/>
          <w:sz w:val="28"/>
          <w:szCs w:val="28"/>
        </w:rPr>
        <w:t>3. 编制原则</w:t>
      </w:r>
      <w:bookmarkEnd w:id="15"/>
    </w:p>
    <w:p w14:paraId="264F8584" w14:textId="77777777" w:rsidR="000F3EC2" w:rsidRDefault="00000000">
      <w:pPr>
        <w:ind w:firstLineChars="200" w:firstLine="560"/>
        <w:rPr>
          <w:rFonts w:ascii="宋体" w:hAnsi="宋体" w:hint="eastAsia"/>
          <w:sz w:val="28"/>
          <w:szCs w:val="28"/>
        </w:rPr>
      </w:pPr>
      <w:r>
        <w:rPr>
          <w:rFonts w:ascii="宋体" w:hAnsi="宋体" w:hint="eastAsia"/>
          <w:sz w:val="28"/>
          <w:szCs w:val="28"/>
        </w:rPr>
        <w:t>（1）科学性：计算方式科学，所需数据合理，确保减排量计算尽量贴近实际情况。</w:t>
      </w:r>
    </w:p>
    <w:p w14:paraId="53C1D2B9" w14:textId="77777777" w:rsidR="000F3EC2" w:rsidRDefault="00000000">
      <w:pPr>
        <w:ind w:firstLineChars="200" w:firstLine="560"/>
        <w:rPr>
          <w:rFonts w:ascii="宋体" w:hAnsi="宋体" w:hint="eastAsia"/>
          <w:sz w:val="28"/>
          <w:szCs w:val="28"/>
        </w:rPr>
      </w:pPr>
      <w:r>
        <w:rPr>
          <w:rFonts w:ascii="宋体" w:hAnsi="宋体" w:hint="eastAsia"/>
          <w:sz w:val="28"/>
          <w:szCs w:val="28"/>
        </w:rPr>
        <w:t>（2）准确性：对碳普惠行为减排量进行准确的计算，尽可能减少偏差和不确定性。</w:t>
      </w:r>
    </w:p>
    <w:p w14:paraId="4DBDDEC5" w14:textId="77777777" w:rsidR="000F3EC2" w:rsidRDefault="00000000">
      <w:pPr>
        <w:ind w:firstLineChars="200" w:firstLine="560"/>
        <w:rPr>
          <w:rFonts w:ascii="宋体" w:hAnsi="宋体" w:hint="eastAsia"/>
          <w:sz w:val="28"/>
          <w:szCs w:val="28"/>
        </w:rPr>
      </w:pPr>
      <w:r>
        <w:rPr>
          <w:rFonts w:ascii="宋体" w:hAnsi="宋体" w:hint="eastAsia"/>
          <w:sz w:val="28"/>
          <w:szCs w:val="28"/>
        </w:rPr>
        <w:t>（3）保守性：遵循较为保守的评估方法计算温室气体减排量，减排量规模影响因素明确可控，基准线设定减</w:t>
      </w:r>
      <w:proofErr w:type="gramStart"/>
      <w:r>
        <w:rPr>
          <w:rFonts w:ascii="宋体" w:hAnsi="宋体" w:hint="eastAsia"/>
          <w:sz w:val="28"/>
          <w:szCs w:val="28"/>
        </w:rPr>
        <w:t>排效益</w:t>
      </w:r>
      <w:proofErr w:type="gramEnd"/>
      <w:r>
        <w:rPr>
          <w:rFonts w:ascii="宋体" w:hAnsi="宋体" w:hint="eastAsia"/>
          <w:sz w:val="28"/>
          <w:szCs w:val="28"/>
        </w:rPr>
        <w:t>明显。</w:t>
      </w:r>
    </w:p>
    <w:p w14:paraId="0818040F" w14:textId="77777777" w:rsidR="000F3EC2" w:rsidRDefault="00000000">
      <w:pPr>
        <w:ind w:firstLineChars="200" w:firstLine="560"/>
        <w:rPr>
          <w:rFonts w:ascii="宋体" w:hAnsi="宋体" w:hint="eastAsia"/>
          <w:sz w:val="28"/>
          <w:szCs w:val="28"/>
        </w:rPr>
      </w:pPr>
      <w:r>
        <w:rPr>
          <w:rFonts w:ascii="宋体" w:hAnsi="宋体" w:hint="eastAsia"/>
          <w:sz w:val="28"/>
          <w:szCs w:val="28"/>
        </w:rPr>
        <w:t>（4）适用性：符合当前地区的实际情况，且与当前地区产业发</w:t>
      </w:r>
      <w:r>
        <w:rPr>
          <w:rFonts w:ascii="宋体" w:hAnsi="宋体" w:hint="eastAsia"/>
          <w:sz w:val="28"/>
          <w:szCs w:val="28"/>
        </w:rPr>
        <w:lastRenderedPageBreak/>
        <w:t>展水平匹配。</w:t>
      </w:r>
    </w:p>
    <w:p w14:paraId="1C607AC9" w14:textId="77777777" w:rsidR="000F3EC2"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（5）可操作性：计算方法简便，计算公式清晰明了，技术语言通俗易懂。</w:t>
      </w:r>
    </w:p>
    <w:p w14:paraId="3C532180" w14:textId="77777777" w:rsidR="000F3EC2" w:rsidRDefault="00000000">
      <w:pPr>
        <w:spacing w:line="360" w:lineRule="auto"/>
        <w:ind w:firstLineChars="200" w:firstLine="562"/>
        <w:jc w:val="left"/>
        <w:outlineLvl w:val="1"/>
        <w:rPr>
          <w:rFonts w:ascii="宋体" w:hAnsi="宋体" w:hint="eastAsia"/>
          <w:b/>
          <w:sz w:val="28"/>
          <w:szCs w:val="28"/>
        </w:rPr>
      </w:pPr>
      <w:bookmarkStart w:id="16" w:name="_Toc26544"/>
      <w:r>
        <w:rPr>
          <w:rFonts w:ascii="宋体" w:hAnsi="宋体"/>
          <w:b/>
          <w:sz w:val="28"/>
          <w:szCs w:val="28"/>
        </w:rPr>
        <w:t>4.</w:t>
      </w:r>
      <w:r>
        <w:rPr>
          <w:rFonts w:ascii="宋体" w:hAnsi="宋体" w:hint="eastAsia"/>
          <w:b/>
          <w:sz w:val="28"/>
          <w:szCs w:val="28"/>
        </w:rPr>
        <w:t xml:space="preserve"> 主要</w:t>
      </w:r>
      <w:r>
        <w:rPr>
          <w:rFonts w:ascii="宋体" w:hAnsi="宋体"/>
          <w:b/>
          <w:sz w:val="28"/>
          <w:szCs w:val="28"/>
        </w:rPr>
        <w:t>编制</w:t>
      </w:r>
      <w:r>
        <w:rPr>
          <w:rFonts w:ascii="宋体" w:hAnsi="宋体" w:hint="eastAsia"/>
          <w:b/>
          <w:sz w:val="28"/>
          <w:szCs w:val="28"/>
        </w:rPr>
        <w:t>过程</w:t>
      </w:r>
      <w:bookmarkEnd w:id="16"/>
    </w:p>
    <w:p w14:paraId="5C38F2FB" w14:textId="77777777" w:rsidR="000F3EC2"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（1）2025年7月，项目组向深圳市生态环境局提交《深圳市低碳公共出行碳普惠方法学（试行）》修订申请并启动修订工作。</w:t>
      </w:r>
    </w:p>
    <w:p w14:paraId="0FCE6BF7" w14:textId="77777777" w:rsidR="000F3EC2"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（2）2025年8月，讨论优化基准线情景和项目情景，对多种情景重新测算减排量。</w:t>
      </w:r>
    </w:p>
    <w:p w14:paraId="7D10A1F7" w14:textId="77777777" w:rsidR="000F3EC2"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（3）2025年10月，形成《深圳市低碳公共出行碳普惠方法学（修订草案稿）》。</w:t>
      </w:r>
    </w:p>
    <w:p w14:paraId="02228CA0" w14:textId="77777777" w:rsidR="000F3EC2"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（4）2025年11月，形成《深圳市低碳公共出行碳普惠方法学（征求意见稿）》。</w:t>
      </w:r>
    </w:p>
    <w:p w14:paraId="02798E66" w14:textId="77777777" w:rsidR="000F3EC2" w:rsidRDefault="00000000">
      <w:pPr>
        <w:pStyle w:val="1"/>
        <w:numPr>
          <w:ilvl w:val="0"/>
          <w:numId w:val="7"/>
        </w:numPr>
        <w:spacing w:before="0" w:after="0" w:line="360" w:lineRule="auto"/>
        <w:ind w:left="0" w:firstLineChars="200" w:firstLine="602"/>
        <w:jc w:val="left"/>
        <w:rPr>
          <w:sz w:val="30"/>
        </w:rPr>
      </w:pPr>
      <w:bookmarkStart w:id="17" w:name="_Toc22172"/>
      <w:bookmarkStart w:id="18" w:name="_Toc26362"/>
      <w:r>
        <w:rPr>
          <w:rFonts w:hint="eastAsia"/>
          <w:sz w:val="30"/>
        </w:rPr>
        <w:t>主要内容</w:t>
      </w:r>
      <w:bookmarkEnd w:id="17"/>
      <w:bookmarkEnd w:id="18"/>
    </w:p>
    <w:p w14:paraId="0C58A259" w14:textId="77777777" w:rsidR="000F3EC2" w:rsidRDefault="00000000">
      <w:pPr>
        <w:spacing w:line="360" w:lineRule="auto"/>
        <w:ind w:firstLineChars="200" w:firstLine="562"/>
        <w:jc w:val="left"/>
        <w:outlineLvl w:val="1"/>
        <w:rPr>
          <w:rFonts w:ascii="宋体" w:hAnsi="宋体" w:hint="eastAsia"/>
          <w:b/>
          <w:sz w:val="28"/>
          <w:szCs w:val="28"/>
        </w:rPr>
      </w:pPr>
      <w:bookmarkStart w:id="19" w:name="_Toc26704"/>
      <w:bookmarkEnd w:id="12"/>
      <w:r>
        <w:rPr>
          <w:rFonts w:ascii="宋体" w:hAnsi="宋体"/>
          <w:b/>
          <w:sz w:val="28"/>
          <w:szCs w:val="28"/>
        </w:rPr>
        <w:t xml:space="preserve">1. </w:t>
      </w:r>
      <w:r>
        <w:rPr>
          <w:rFonts w:ascii="宋体" w:hAnsi="宋体" w:hint="eastAsia"/>
          <w:b/>
          <w:sz w:val="28"/>
          <w:szCs w:val="28"/>
        </w:rPr>
        <w:t>方法学内容说明</w:t>
      </w:r>
      <w:bookmarkEnd w:id="19"/>
    </w:p>
    <w:p w14:paraId="3F58D8CA" w14:textId="77777777" w:rsidR="000F3EC2"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本方法学共有十二个章节，具体包括：</w:t>
      </w:r>
    </w:p>
    <w:p w14:paraId="4E8192E5" w14:textId="77777777" w:rsidR="000F3EC2" w:rsidRDefault="00000000">
      <w:pPr>
        <w:keepNext/>
        <w:adjustRightInd w:val="0"/>
        <w:snapToGrid w:val="0"/>
        <w:spacing w:line="360" w:lineRule="auto"/>
        <w:ind w:firstLineChars="200" w:firstLine="562"/>
        <w:outlineLvl w:val="2"/>
        <w:rPr>
          <w:rFonts w:ascii="宋体" w:hAnsi="宋体" w:hint="eastAsia"/>
          <w:b/>
          <w:bCs/>
          <w:sz w:val="28"/>
          <w:szCs w:val="28"/>
        </w:rPr>
      </w:pPr>
      <w:r>
        <w:rPr>
          <w:rFonts w:ascii="宋体" w:hAnsi="宋体" w:hint="eastAsia"/>
          <w:b/>
          <w:bCs/>
          <w:sz w:val="28"/>
          <w:szCs w:val="28"/>
        </w:rPr>
        <w:t>（1）范围</w:t>
      </w:r>
    </w:p>
    <w:p w14:paraId="5BED36D4" w14:textId="77777777" w:rsidR="000F3EC2"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明确方法学的适用范围。本方法</w:t>
      </w:r>
      <w:proofErr w:type="gramStart"/>
      <w:r>
        <w:rPr>
          <w:rFonts w:ascii="宋体" w:hAnsi="宋体" w:hint="eastAsia"/>
          <w:sz w:val="28"/>
          <w:szCs w:val="28"/>
        </w:rPr>
        <w:t>学规定</w:t>
      </w:r>
      <w:proofErr w:type="gramEnd"/>
      <w:r>
        <w:rPr>
          <w:rFonts w:ascii="宋体" w:hAnsi="宋体" w:hint="eastAsia"/>
          <w:sz w:val="28"/>
          <w:szCs w:val="28"/>
        </w:rPr>
        <w:t>了在深圳碳普惠机制下，通过核算个人采用低碳公共出行的碳普惠行为所产生减排量的核算及核证方法。</w:t>
      </w:r>
    </w:p>
    <w:p w14:paraId="365D427A" w14:textId="77777777" w:rsidR="000F3EC2" w:rsidRDefault="00000000">
      <w:pPr>
        <w:keepNext/>
        <w:adjustRightInd w:val="0"/>
        <w:snapToGrid w:val="0"/>
        <w:spacing w:line="360" w:lineRule="auto"/>
        <w:ind w:firstLineChars="200" w:firstLine="562"/>
        <w:outlineLvl w:val="2"/>
        <w:rPr>
          <w:rFonts w:ascii="宋体" w:hAnsi="宋体" w:hint="eastAsia"/>
          <w:b/>
          <w:bCs/>
          <w:sz w:val="28"/>
          <w:szCs w:val="28"/>
        </w:rPr>
      </w:pPr>
      <w:r>
        <w:rPr>
          <w:rFonts w:ascii="宋体" w:hAnsi="宋体" w:hint="eastAsia"/>
          <w:b/>
          <w:bCs/>
          <w:sz w:val="28"/>
          <w:szCs w:val="28"/>
        </w:rPr>
        <w:t>（2）规范性引用文件</w:t>
      </w:r>
    </w:p>
    <w:p w14:paraId="32CC0588" w14:textId="77777777" w:rsidR="000F3EC2"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本方法学无引用的相关制度文件。</w:t>
      </w:r>
    </w:p>
    <w:p w14:paraId="57FD099F" w14:textId="77777777" w:rsidR="000F3EC2" w:rsidRDefault="00000000">
      <w:pPr>
        <w:keepNext/>
        <w:adjustRightInd w:val="0"/>
        <w:snapToGrid w:val="0"/>
        <w:spacing w:line="360" w:lineRule="auto"/>
        <w:ind w:firstLineChars="200" w:firstLine="562"/>
        <w:outlineLvl w:val="2"/>
        <w:rPr>
          <w:rFonts w:ascii="宋体" w:hAnsi="宋体" w:hint="eastAsia"/>
          <w:b/>
          <w:bCs/>
          <w:sz w:val="28"/>
          <w:szCs w:val="28"/>
        </w:rPr>
      </w:pPr>
      <w:r>
        <w:rPr>
          <w:rFonts w:ascii="宋体" w:hAnsi="宋体" w:hint="eastAsia"/>
          <w:b/>
          <w:bCs/>
          <w:sz w:val="28"/>
          <w:szCs w:val="28"/>
        </w:rPr>
        <w:t>（3）术语和定义</w:t>
      </w:r>
    </w:p>
    <w:p w14:paraId="21670316" w14:textId="77777777" w:rsidR="000F3EC2"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对本方法学出现的相关名词进行解释。</w:t>
      </w:r>
    </w:p>
    <w:p w14:paraId="07EE332B" w14:textId="77777777" w:rsidR="000F3EC2" w:rsidRDefault="00000000">
      <w:pPr>
        <w:keepNext/>
        <w:adjustRightInd w:val="0"/>
        <w:snapToGrid w:val="0"/>
        <w:spacing w:line="360" w:lineRule="auto"/>
        <w:ind w:firstLineChars="200" w:firstLine="562"/>
        <w:outlineLvl w:val="2"/>
        <w:rPr>
          <w:rFonts w:ascii="宋体" w:hAnsi="宋体" w:hint="eastAsia"/>
          <w:b/>
          <w:bCs/>
          <w:sz w:val="28"/>
          <w:szCs w:val="28"/>
        </w:rPr>
      </w:pPr>
      <w:r>
        <w:rPr>
          <w:rFonts w:ascii="宋体" w:hAnsi="宋体" w:hint="eastAsia"/>
          <w:b/>
          <w:bCs/>
          <w:sz w:val="28"/>
          <w:szCs w:val="28"/>
        </w:rPr>
        <w:lastRenderedPageBreak/>
        <w:t>（4）适用条件</w:t>
      </w:r>
    </w:p>
    <w:p w14:paraId="582DB9BC" w14:textId="77777777" w:rsidR="000F3EC2"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对本方法学的适用条件进行明确。本方法学适用于深圳碳普惠体系下，数据聚集平台为其注册用户在深圳市内采用低碳公共出行方式产生减排量的核算。将计入期自2021年1月1日起计修订为以注册用户与数据聚集平台达成授权委托协议数据可被采集之日起开始，且不得早于2022年8月18日。</w:t>
      </w:r>
    </w:p>
    <w:p w14:paraId="6D3B3537" w14:textId="77777777" w:rsidR="000F3EC2" w:rsidRDefault="00000000">
      <w:pPr>
        <w:keepNext/>
        <w:adjustRightInd w:val="0"/>
        <w:snapToGrid w:val="0"/>
        <w:spacing w:line="360" w:lineRule="auto"/>
        <w:ind w:firstLineChars="200" w:firstLine="562"/>
        <w:outlineLvl w:val="2"/>
        <w:rPr>
          <w:rFonts w:ascii="宋体" w:hAnsi="宋体" w:hint="eastAsia"/>
          <w:b/>
          <w:bCs/>
          <w:sz w:val="28"/>
          <w:szCs w:val="28"/>
        </w:rPr>
      </w:pPr>
      <w:r>
        <w:rPr>
          <w:rFonts w:ascii="宋体" w:hAnsi="宋体" w:hint="eastAsia"/>
          <w:b/>
          <w:bCs/>
          <w:sz w:val="28"/>
          <w:szCs w:val="28"/>
        </w:rPr>
        <w:t>（5）额外性论述</w:t>
      </w:r>
    </w:p>
    <w:p w14:paraId="1375699B" w14:textId="77777777" w:rsidR="000F3EC2"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明确本方法学所核算的绿色低碳行为免除额外性的论述。</w:t>
      </w:r>
    </w:p>
    <w:p w14:paraId="1A612512" w14:textId="77777777" w:rsidR="000F3EC2"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本项目首先参考了CDM机制《小规模项目活动额外性论证工具》《微型项目活动额外性论证工具》《技术正向清单》三个标准文件的相关规定，本项目个人采用公共汽车或地铁出行时产生的减排量远小于其中对于小规模项目活动（</w:t>
      </w:r>
      <w:proofErr w:type="gramStart"/>
      <w:r>
        <w:rPr>
          <w:rFonts w:ascii="宋体" w:hAnsi="宋体" w:hint="eastAsia"/>
          <w:sz w:val="28"/>
          <w:szCs w:val="28"/>
        </w:rPr>
        <w:t>年碳排放量</w:t>
      </w:r>
      <w:proofErr w:type="gramEnd"/>
      <w:r>
        <w:rPr>
          <w:rFonts w:ascii="宋体" w:hAnsi="宋体" w:hint="eastAsia"/>
          <w:sz w:val="28"/>
          <w:szCs w:val="28"/>
        </w:rPr>
        <w:t>小于6万吨CO</w:t>
      </w:r>
      <w:r>
        <w:rPr>
          <w:rFonts w:ascii="宋体" w:hAnsi="宋体" w:hint="eastAsia"/>
          <w:sz w:val="28"/>
          <w:szCs w:val="28"/>
          <w:vertAlign w:val="subscript"/>
        </w:rPr>
        <w:t>2</w:t>
      </w:r>
      <w:r>
        <w:rPr>
          <w:rFonts w:ascii="宋体" w:hAnsi="宋体" w:hint="eastAsia"/>
          <w:sz w:val="28"/>
          <w:szCs w:val="28"/>
        </w:rPr>
        <w:t>）和微型规模项目活动（</w:t>
      </w:r>
      <w:proofErr w:type="gramStart"/>
      <w:r>
        <w:rPr>
          <w:rFonts w:ascii="宋体" w:hAnsi="宋体" w:hint="eastAsia"/>
          <w:sz w:val="28"/>
          <w:szCs w:val="28"/>
        </w:rPr>
        <w:t>年碳排放量</w:t>
      </w:r>
      <w:proofErr w:type="gramEnd"/>
      <w:r>
        <w:rPr>
          <w:rFonts w:ascii="宋体" w:hAnsi="宋体" w:hint="eastAsia"/>
          <w:sz w:val="28"/>
          <w:szCs w:val="28"/>
        </w:rPr>
        <w:t>小于2万吨CO</w:t>
      </w:r>
      <w:r>
        <w:rPr>
          <w:rFonts w:ascii="宋体" w:hAnsi="宋体" w:hint="eastAsia"/>
          <w:sz w:val="28"/>
          <w:szCs w:val="28"/>
          <w:vertAlign w:val="subscript"/>
        </w:rPr>
        <w:t>2</w:t>
      </w:r>
      <w:r>
        <w:rPr>
          <w:rFonts w:ascii="宋体" w:hAnsi="宋体" w:hint="eastAsia"/>
          <w:sz w:val="28"/>
          <w:szCs w:val="28"/>
        </w:rPr>
        <w:t>）的标准上限，但是本项目并不涉及技术使用和财务投资，而主要依托公众采用公共汽车及地铁出行时带来的减排效益，是带有社会公益性质的全民参与的普惠活动，而非CDM机制下的减排项目，因此得出了本项目并不完全适用于使用CDM机制的额外性论述说法。深圳碳普惠体系希望能够推动社会公众更多地采用公共汽车及地铁等绿色低碳交通方式出行，因此仍允许针对社会公众采用公共汽车及地铁出行签发碳普惠减排量。目前对该类减排量的管理要求为仅允许用于活动碳中和或公益碳中和，不允许用于</w:t>
      </w:r>
      <w:proofErr w:type="gramStart"/>
      <w:r>
        <w:rPr>
          <w:rFonts w:ascii="宋体" w:hAnsi="宋体" w:hint="eastAsia"/>
          <w:sz w:val="28"/>
          <w:szCs w:val="28"/>
        </w:rPr>
        <w:t>碳市场管控企业</w:t>
      </w:r>
      <w:proofErr w:type="gramEnd"/>
      <w:r>
        <w:rPr>
          <w:rFonts w:ascii="宋体" w:hAnsi="宋体" w:hint="eastAsia"/>
          <w:sz w:val="28"/>
          <w:szCs w:val="28"/>
        </w:rPr>
        <w:t>的履约或企业碳中和。</w:t>
      </w:r>
    </w:p>
    <w:p w14:paraId="1BD7DB23" w14:textId="77777777" w:rsidR="000F3EC2" w:rsidRDefault="00000000">
      <w:pPr>
        <w:keepNext/>
        <w:adjustRightInd w:val="0"/>
        <w:snapToGrid w:val="0"/>
        <w:spacing w:line="360" w:lineRule="auto"/>
        <w:ind w:firstLineChars="200" w:firstLine="562"/>
        <w:outlineLvl w:val="2"/>
        <w:rPr>
          <w:rFonts w:ascii="宋体" w:hAnsi="宋体" w:hint="eastAsia"/>
          <w:b/>
          <w:bCs/>
          <w:sz w:val="28"/>
          <w:szCs w:val="28"/>
        </w:rPr>
      </w:pPr>
      <w:r>
        <w:rPr>
          <w:rFonts w:ascii="宋体" w:hAnsi="宋体" w:hint="eastAsia"/>
          <w:b/>
          <w:bCs/>
          <w:sz w:val="28"/>
          <w:szCs w:val="28"/>
        </w:rPr>
        <w:t>（6）避免减排量重复申报的措施</w:t>
      </w:r>
    </w:p>
    <w:p w14:paraId="42FE9F03" w14:textId="77777777" w:rsidR="000F3EC2"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对方法学如何能够避免出现减排量重复申报的现象进行解释论述。数据聚集平台账户按一人一号的方式进行实名登记注册，同时各</w:t>
      </w:r>
      <w:r>
        <w:rPr>
          <w:rFonts w:ascii="宋体" w:hAnsi="宋体" w:hint="eastAsia"/>
          <w:sz w:val="28"/>
          <w:szCs w:val="28"/>
        </w:rPr>
        <w:lastRenderedPageBreak/>
        <w:t>平台所记录数据主要为支付数据，可有效避免同一行为的重复记录所导致的减排量重复申报。数据聚集平台及注册用户应承诺减排量未在其它减</w:t>
      </w:r>
      <w:proofErr w:type="gramStart"/>
      <w:r>
        <w:rPr>
          <w:rFonts w:ascii="宋体" w:hAnsi="宋体" w:hint="eastAsia"/>
          <w:sz w:val="28"/>
          <w:szCs w:val="28"/>
        </w:rPr>
        <w:t>排交易</w:t>
      </w:r>
      <w:proofErr w:type="gramEnd"/>
      <w:r>
        <w:rPr>
          <w:rFonts w:ascii="宋体" w:hAnsi="宋体" w:hint="eastAsia"/>
          <w:sz w:val="28"/>
          <w:szCs w:val="28"/>
        </w:rPr>
        <w:t>机制下获得签发，避免重复申报。</w:t>
      </w:r>
    </w:p>
    <w:p w14:paraId="3D271300" w14:textId="77777777" w:rsidR="000F3EC2" w:rsidRDefault="00000000">
      <w:pPr>
        <w:keepNext/>
        <w:adjustRightInd w:val="0"/>
        <w:snapToGrid w:val="0"/>
        <w:spacing w:line="360" w:lineRule="auto"/>
        <w:ind w:firstLineChars="200" w:firstLine="562"/>
        <w:outlineLvl w:val="2"/>
        <w:rPr>
          <w:rFonts w:ascii="宋体" w:hAnsi="宋体" w:hint="eastAsia"/>
          <w:b/>
          <w:bCs/>
          <w:sz w:val="28"/>
          <w:szCs w:val="28"/>
        </w:rPr>
      </w:pPr>
      <w:r>
        <w:rPr>
          <w:rFonts w:ascii="宋体" w:hAnsi="宋体" w:hint="eastAsia"/>
          <w:b/>
          <w:bCs/>
          <w:sz w:val="28"/>
          <w:szCs w:val="28"/>
        </w:rPr>
        <w:t>（7）核算边界的确定</w:t>
      </w:r>
    </w:p>
    <w:p w14:paraId="1F10C9D5" w14:textId="77777777" w:rsidR="000F3EC2"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明确项目的核算边界，包括核算的空间范围及温室气体种类。依据深圳市温室气体清单数据，深圳市公共汽车、出租汽车、地铁、私人小汽车的总排放中CH</w:t>
      </w:r>
      <w:r>
        <w:rPr>
          <w:rFonts w:ascii="宋体" w:hAnsi="宋体" w:hint="eastAsia"/>
          <w:sz w:val="28"/>
          <w:szCs w:val="28"/>
          <w:vertAlign w:val="subscript"/>
        </w:rPr>
        <w:t>4</w:t>
      </w:r>
      <w:r>
        <w:rPr>
          <w:rFonts w:ascii="宋体" w:hAnsi="宋体" w:hint="eastAsia"/>
          <w:sz w:val="28"/>
          <w:szCs w:val="28"/>
        </w:rPr>
        <w:t>排放约占1.06‰、N</w:t>
      </w:r>
      <w:r>
        <w:rPr>
          <w:rFonts w:ascii="宋体" w:hAnsi="宋体" w:hint="eastAsia"/>
          <w:sz w:val="28"/>
          <w:szCs w:val="28"/>
          <w:vertAlign w:val="subscript"/>
        </w:rPr>
        <w:t>2</w:t>
      </w:r>
      <w:r>
        <w:rPr>
          <w:rFonts w:ascii="宋体" w:hAnsi="宋体" w:hint="eastAsia"/>
          <w:sz w:val="28"/>
          <w:szCs w:val="28"/>
        </w:rPr>
        <w:t>O排放占比约为1%，合计不足排放量的2%，因此忽略不计，本方法学仅核算二氧化碳排放。</w:t>
      </w:r>
    </w:p>
    <w:p w14:paraId="621BBA42" w14:textId="77777777" w:rsidR="000F3EC2" w:rsidRDefault="00000000">
      <w:pPr>
        <w:keepNext/>
        <w:adjustRightInd w:val="0"/>
        <w:snapToGrid w:val="0"/>
        <w:spacing w:line="360" w:lineRule="auto"/>
        <w:ind w:firstLineChars="200" w:firstLine="562"/>
        <w:outlineLvl w:val="2"/>
        <w:rPr>
          <w:rFonts w:ascii="宋体" w:hAnsi="宋体" w:hint="eastAsia"/>
          <w:b/>
          <w:bCs/>
          <w:sz w:val="28"/>
          <w:szCs w:val="28"/>
        </w:rPr>
      </w:pPr>
      <w:r>
        <w:rPr>
          <w:rFonts w:ascii="宋体" w:hAnsi="宋体" w:hint="eastAsia"/>
          <w:b/>
          <w:bCs/>
          <w:sz w:val="28"/>
          <w:szCs w:val="28"/>
        </w:rPr>
        <w:t>（8）基准线情景的确定</w:t>
      </w:r>
    </w:p>
    <w:p w14:paraId="5CC55390" w14:textId="77777777" w:rsidR="000F3EC2"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阐释本方法学的基准线情景包含的机动化出行方式。</w:t>
      </w:r>
    </w:p>
    <w:p w14:paraId="19239022" w14:textId="77777777" w:rsidR="000F3EC2"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本方法学中，基准线情景考虑了个人出行的所有道路运输方式，包括私人小汽车、出租汽车、公共汽车和地铁。这是由于本项目首先免除了额外性的论述，其次根据广州、本项目早期的研究成果，发现使用替代法计算时因为难以获得有效样本数量从而导致模型计算结果偏差较大，依据以上两点原因，明确了不再采用替代法进行本项目的研究，只通过均值法进行计算。同时为避免使用公共汽车、地铁出行的公众自动获取减排量，因此将公共汽车、地铁纳入基准线情景。其中，公共汽车及出租汽车已于2019年实现全面电动化，因此仅考虑电动公共汽车及电动出租汽车。私人小汽车包含电动车、汽油</w:t>
      </w:r>
      <w:proofErr w:type="gramStart"/>
      <w:r>
        <w:rPr>
          <w:rFonts w:ascii="宋体" w:hAnsi="宋体" w:hint="eastAsia"/>
          <w:sz w:val="28"/>
          <w:szCs w:val="28"/>
        </w:rPr>
        <w:t>车及混动车</w:t>
      </w:r>
      <w:proofErr w:type="gramEnd"/>
      <w:r>
        <w:rPr>
          <w:rFonts w:ascii="宋体" w:hAnsi="宋体" w:hint="eastAsia"/>
          <w:sz w:val="28"/>
          <w:szCs w:val="28"/>
        </w:rPr>
        <w:t>。项目情景是指本方法学所指代的低碳公共出行方式，即公共汽车出行及地铁出行。</w:t>
      </w:r>
    </w:p>
    <w:p w14:paraId="045D3382" w14:textId="77777777" w:rsidR="000F3EC2" w:rsidRDefault="00000000">
      <w:pPr>
        <w:keepNext/>
        <w:widowControl/>
        <w:adjustRightInd w:val="0"/>
        <w:snapToGrid w:val="0"/>
        <w:spacing w:line="360" w:lineRule="auto"/>
        <w:ind w:firstLineChars="200" w:firstLine="562"/>
        <w:outlineLvl w:val="2"/>
        <w:rPr>
          <w:rFonts w:ascii="宋体" w:hAnsi="宋体" w:hint="eastAsia"/>
          <w:sz w:val="28"/>
          <w:szCs w:val="28"/>
        </w:rPr>
      </w:pPr>
      <w:r>
        <w:rPr>
          <w:rFonts w:ascii="宋体" w:hAnsi="宋体" w:hint="eastAsia"/>
          <w:b/>
          <w:bCs/>
          <w:sz w:val="28"/>
          <w:szCs w:val="28"/>
        </w:rPr>
        <w:t>（9）项目情景</w:t>
      </w:r>
    </w:p>
    <w:p w14:paraId="068DBCD3" w14:textId="77777777" w:rsidR="000F3EC2"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阐释本方法学的项目情景包含的交通出行方式。</w:t>
      </w:r>
    </w:p>
    <w:p w14:paraId="06919FC8" w14:textId="77777777" w:rsidR="000F3EC2"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项目情景为项目期个人采用纯电动公共汽车或地铁出行的平均碳排放水平，以上两种方式皆为低碳公共出行方式。</w:t>
      </w:r>
    </w:p>
    <w:p w14:paraId="1BAB66D1" w14:textId="77777777" w:rsidR="000F3EC2" w:rsidRDefault="00000000">
      <w:pPr>
        <w:keepNext/>
        <w:adjustRightInd w:val="0"/>
        <w:snapToGrid w:val="0"/>
        <w:spacing w:line="360" w:lineRule="auto"/>
        <w:ind w:firstLineChars="200" w:firstLine="562"/>
        <w:outlineLvl w:val="2"/>
        <w:rPr>
          <w:rFonts w:ascii="宋体" w:hAnsi="宋体" w:hint="eastAsia"/>
          <w:b/>
          <w:bCs/>
          <w:sz w:val="28"/>
          <w:szCs w:val="28"/>
        </w:rPr>
      </w:pPr>
      <w:r>
        <w:rPr>
          <w:rFonts w:ascii="宋体" w:hAnsi="宋体"/>
          <w:b/>
          <w:bCs/>
          <w:sz w:val="28"/>
          <w:szCs w:val="28"/>
        </w:rPr>
        <w:lastRenderedPageBreak/>
        <w:t>（10）减排量</w:t>
      </w:r>
    </w:p>
    <w:p w14:paraId="19942B62" w14:textId="77777777" w:rsidR="000F3EC2" w:rsidRDefault="00000000">
      <w:pPr>
        <w:adjustRightInd w:val="0"/>
        <w:snapToGrid w:val="0"/>
        <w:spacing w:line="360" w:lineRule="auto"/>
        <w:ind w:firstLineChars="200" w:firstLine="640"/>
        <w:rPr>
          <w:rFonts w:ascii="宋体" w:hAnsi="宋体" w:hint="eastAsia"/>
          <w:sz w:val="28"/>
          <w:szCs w:val="28"/>
        </w:rPr>
      </w:pPr>
      <w:r>
        <w:rPr>
          <w:rFonts w:ascii="宋体" w:hAnsi="宋体"/>
          <w:noProof/>
        </w:rPr>
        <w:drawing>
          <wp:anchor distT="0" distB="0" distL="114300" distR="114300" simplePos="0" relativeHeight="251660288" behindDoc="0" locked="0" layoutInCell="1" allowOverlap="1" wp14:anchorId="0163ACE4" wp14:editId="67EC5E20">
            <wp:simplePos x="0" y="0"/>
            <wp:positionH relativeFrom="column">
              <wp:posOffset>52705</wp:posOffset>
            </wp:positionH>
            <wp:positionV relativeFrom="paragraph">
              <wp:posOffset>629920</wp:posOffset>
            </wp:positionV>
            <wp:extent cx="5274310" cy="3067685"/>
            <wp:effectExtent l="0" t="0" r="254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274310" cy="3067685"/>
                    </a:xfrm>
                    <a:prstGeom prst="rect">
                      <a:avLst/>
                    </a:prstGeom>
                  </pic:spPr>
                </pic:pic>
              </a:graphicData>
            </a:graphic>
          </wp:anchor>
        </w:drawing>
      </w:r>
      <w:r>
        <w:rPr>
          <w:rFonts w:ascii="宋体" w:hAnsi="宋体" w:hint="eastAsia"/>
          <w:sz w:val="28"/>
          <w:szCs w:val="28"/>
        </w:rPr>
        <w:t>阐述基准线情景、项目</w:t>
      </w:r>
      <w:proofErr w:type="gramStart"/>
      <w:r>
        <w:rPr>
          <w:rFonts w:ascii="宋体" w:hAnsi="宋体" w:hint="eastAsia"/>
          <w:sz w:val="28"/>
          <w:szCs w:val="28"/>
        </w:rPr>
        <w:t>情景下碳排放</w:t>
      </w:r>
      <w:proofErr w:type="gramEnd"/>
      <w:r>
        <w:rPr>
          <w:rFonts w:ascii="宋体" w:hAnsi="宋体" w:hint="eastAsia"/>
          <w:sz w:val="28"/>
          <w:szCs w:val="28"/>
        </w:rPr>
        <w:t>因子以及碳普惠减排量的计算方法。</w:t>
      </w:r>
    </w:p>
    <w:p w14:paraId="6450FEB4" w14:textId="77777777" w:rsidR="000F3EC2" w:rsidRDefault="00000000">
      <w:pPr>
        <w:pStyle w:val="afff"/>
        <w:spacing w:before="81" w:after="81"/>
        <w:rPr>
          <w:rFonts w:ascii="黑体" w:hAnsi="黑体" w:hint="eastAsia"/>
          <w:b w:val="0"/>
          <w:sz w:val="24"/>
          <w:szCs w:val="22"/>
        </w:rPr>
      </w:pPr>
      <w:r>
        <w:rPr>
          <w:rFonts w:ascii="黑体" w:hAnsi="黑体" w:hint="eastAsia"/>
          <w:b w:val="0"/>
          <w:sz w:val="24"/>
          <w:szCs w:val="22"/>
        </w:rPr>
        <w:t>图1 排放</w:t>
      </w:r>
      <w:proofErr w:type="gramStart"/>
      <w:r>
        <w:rPr>
          <w:rFonts w:ascii="黑体" w:hAnsi="黑体" w:hint="eastAsia"/>
          <w:b w:val="0"/>
          <w:sz w:val="24"/>
          <w:szCs w:val="22"/>
        </w:rPr>
        <w:t>因子及碳普惠</w:t>
      </w:r>
      <w:proofErr w:type="gramEnd"/>
      <w:r>
        <w:rPr>
          <w:rFonts w:ascii="黑体" w:hAnsi="黑体" w:hint="eastAsia"/>
          <w:b w:val="0"/>
          <w:sz w:val="24"/>
          <w:szCs w:val="22"/>
        </w:rPr>
        <w:t>减排量计算思路</w:t>
      </w:r>
    </w:p>
    <w:p w14:paraId="124830C3" w14:textId="77777777" w:rsidR="000F3EC2"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第一，基准线情景下排放因子计算。基准线排放因子为公共汽车、地铁、出租汽车、私家车消耗能源产生</w:t>
      </w:r>
      <w:proofErr w:type="gramStart"/>
      <w:r>
        <w:rPr>
          <w:rFonts w:ascii="宋体" w:hAnsi="宋体" w:hint="eastAsia"/>
          <w:sz w:val="28"/>
          <w:szCs w:val="28"/>
        </w:rPr>
        <w:t>的年碳排放</w:t>
      </w:r>
      <w:proofErr w:type="gramEnd"/>
      <w:r>
        <w:rPr>
          <w:rFonts w:ascii="宋体" w:hAnsi="宋体" w:hint="eastAsia"/>
          <w:sz w:val="28"/>
          <w:szCs w:val="28"/>
        </w:rPr>
        <w:t>总量与年客运周转量的比值，增加了对于公交、地铁场站附属设施的碳排放、网</w:t>
      </w:r>
      <w:proofErr w:type="gramStart"/>
      <w:r>
        <w:rPr>
          <w:rFonts w:ascii="宋体" w:hAnsi="宋体" w:hint="eastAsia"/>
          <w:sz w:val="28"/>
          <w:szCs w:val="28"/>
        </w:rPr>
        <w:t>约车碳</w:t>
      </w:r>
      <w:proofErr w:type="gramEnd"/>
      <w:r>
        <w:rPr>
          <w:rFonts w:ascii="宋体" w:hAnsi="宋体" w:hint="eastAsia"/>
          <w:sz w:val="28"/>
          <w:szCs w:val="28"/>
        </w:rPr>
        <w:t>排放等情况。</w:t>
      </w:r>
    </w:p>
    <w:p w14:paraId="7683557E" w14:textId="77777777" w:rsidR="000F3EC2"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第二，项目情景下排放因子计算。明确了排放因子的取值年份，规定了项目情景下公共汽车（地铁）排放因子取为申请减排量当年的前两年的各交通工具的运营数据作为排放因子，例如申请2024年减排量，项目情景下排放因子为公共汽车（地铁）2022年人均公里碳排放。其中关于泄漏的说明是由于个人参与项目活动时，在同一空间、时间内只能选择一种交通工具，因此不存在泄漏。</w:t>
      </w:r>
    </w:p>
    <w:p w14:paraId="2773CCDE" w14:textId="77777777" w:rsidR="000F3EC2"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第三，碳普惠减排量计算。碳普惠减排量为项目情景较基准线情景减少的碳排放，因此公共汽车（地铁）减排量=（基准线排放因子-</w:t>
      </w:r>
      <w:r>
        <w:rPr>
          <w:rFonts w:ascii="宋体" w:hAnsi="宋体" w:hint="eastAsia"/>
          <w:sz w:val="28"/>
          <w:szCs w:val="28"/>
        </w:rPr>
        <w:lastRenderedPageBreak/>
        <w:t>公共汽车（地铁）项目减排因子）×注册用户有效出行距离，并根据项目期情况进行数据汇总。</w:t>
      </w:r>
    </w:p>
    <w:p w14:paraId="20873180" w14:textId="77777777" w:rsidR="000F3EC2" w:rsidRDefault="00000000">
      <w:pPr>
        <w:keepNext/>
        <w:adjustRightInd w:val="0"/>
        <w:snapToGrid w:val="0"/>
        <w:spacing w:line="360" w:lineRule="auto"/>
        <w:ind w:firstLineChars="200" w:firstLine="562"/>
        <w:outlineLvl w:val="2"/>
        <w:rPr>
          <w:rFonts w:ascii="宋体" w:hAnsi="宋体" w:hint="eastAsia"/>
          <w:b/>
          <w:bCs/>
          <w:sz w:val="28"/>
          <w:szCs w:val="28"/>
        </w:rPr>
      </w:pPr>
      <w:r>
        <w:rPr>
          <w:rFonts w:ascii="宋体" w:hAnsi="宋体" w:hint="eastAsia"/>
          <w:b/>
          <w:bCs/>
          <w:sz w:val="28"/>
          <w:szCs w:val="28"/>
        </w:rPr>
        <w:t>（11）数据来源与监测</w:t>
      </w:r>
    </w:p>
    <w:p w14:paraId="7D82AE99" w14:textId="77777777" w:rsidR="000F3EC2"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确定方法学的更新周期，阐述说明减排量核算的数据来源。</w:t>
      </w:r>
    </w:p>
    <w:p w14:paraId="19711F24" w14:textId="77777777" w:rsidR="000F3EC2"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第一，结合当前国家</w:t>
      </w:r>
      <w:proofErr w:type="gramStart"/>
      <w:r>
        <w:rPr>
          <w:rFonts w:ascii="宋体" w:hAnsi="宋体" w:hint="eastAsia"/>
          <w:sz w:val="28"/>
          <w:szCs w:val="28"/>
        </w:rPr>
        <w:t>碳达峰碳</w:t>
      </w:r>
      <w:proofErr w:type="gramEnd"/>
      <w:r>
        <w:rPr>
          <w:rFonts w:ascii="宋体" w:hAnsi="宋体" w:hint="eastAsia"/>
          <w:sz w:val="28"/>
          <w:szCs w:val="28"/>
        </w:rPr>
        <w:t>中和战略的背景，考虑深圳市交通领域技术更新，本项目参数调整以主管部门发布时间为准。</w:t>
      </w:r>
    </w:p>
    <w:p w14:paraId="23C46FC9" w14:textId="77777777" w:rsidR="000F3EC2"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第二，对监测数据和缺省数据的程序和要求进行说明。</w:t>
      </w:r>
    </w:p>
    <w:p w14:paraId="42014557" w14:textId="77777777" w:rsidR="000F3EC2" w:rsidRDefault="00000000">
      <w:pPr>
        <w:keepNext/>
        <w:keepLines/>
        <w:adjustRightInd w:val="0"/>
        <w:snapToGrid w:val="0"/>
        <w:spacing w:line="360" w:lineRule="auto"/>
        <w:ind w:firstLineChars="200" w:firstLine="562"/>
        <w:outlineLvl w:val="2"/>
        <w:rPr>
          <w:rFonts w:ascii="宋体" w:hAnsi="宋体" w:hint="eastAsia"/>
          <w:b/>
          <w:bCs/>
          <w:sz w:val="28"/>
          <w:szCs w:val="28"/>
        </w:rPr>
      </w:pPr>
      <w:r>
        <w:rPr>
          <w:rFonts w:ascii="宋体" w:hAnsi="宋体"/>
          <w:b/>
          <w:bCs/>
          <w:sz w:val="28"/>
          <w:szCs w:val="28"/>
        </w:rPr>
        <w:t>（12）核证要点及方法</w:t>
      </w:r>
    </w:p>
    <w:p w14:paraId="45CDF3D8" w14:textId="77777777" w:rsidR="000F3EC2"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本方法学中，监测数据主要为注册用户采用公共汽车和地铁出行的次数、地铁的出行距离，其余数据为缺省数据。</w:t>
      </w:r>
    </w:p>
    <w:p w14:paraId="09108C20" w14:textId="77777777" w:rsidR="000F3EC2" w:rsidRDefault="00000000">
      <w:pPr>
        <w:spacing w:line="360" w:lineRule="auto"/>
        <w:ind w:firstLineChars="200" w:firstLine="562"/>
        <w:outlineLvl w:val="1"/>
        <w:rPr>
          <w:rFonts w:ascii="宋体" w:hAnsi="宋体" w:hint="eastAsia"/>
          <w:b/>
          <w:sz w:val="28"/>
          <w:szCs w:val="28"/>
        </w:rPr>
      </w:pPr>
      <w:bookmarkStart w:id="20" w:name="_Toc10617"/>
      <w:bookmarkStart w:id="21" w:name="_Toc88473804"/>
      <w:r>
        <w:rPr>
          <w:rFonts w:ascii="宋体" w:hAnsi="宋体"/>
          <w:b/>
          <w:sz w:val="28"/>
          <w:szCs w:val="28"/>
        </w:rPr>
        <w:t xml:space="preserve">2. </w:t>
      </w:r>
      <w:r>
        <w:rPr>
          <w:rFonts w:ascii="宋体" w:hAnsi="宋体" w:hint="eastAsia"/>
          <w:b/>
          <w:sz w:val="28"/>
          <w:szCs w:val="28"/>
        </w:rPr>
        <w:t>技术指标说明</w:t>
      </w:r>
      <w:bookmarkStart w:id="22" w:name="_Toc88473805"/>
      <w:bookmarkEnd w:id="20"/>
      <w:bookmarkEnd w:id="21"/>
    </w:p>
    <w:p w14:paraId="5ADC5541" w14:textId="77777777" w:rsidR="000F3EC2"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（说明主要技术指标的选取、数据采集方法的设定考虑。）</w:t>
      </w:r>
    </w:p>
    <w:bookmarkEnd w:id="22"/>
    <w:p w14:paraId="51BF9034" w14:textId="77777777" w:rsidR="000F3EC2"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（1）监测数据说明</w:t>
      </w:r>
    </w:p>
    <w:p w14:paraId="3D0C02D1" w14:textId="77777777" w:rsidR="000F3EC2"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本方法学需要监测的数据主要包括注册用户在项目情景下采用的低碳公共出行工具（即公共汽车或地铁）的次数和地铁的出行距离。其中公共汽车和地铁的次数根据注册</w:t>
      </w:r>
      <w:proofErr w:type="gramStart"/>
      <w:r>
        <w:rPr>
          <w:rFonts w:ascii="宋体" w:hAnsi="宋体" w:hint="eastAsia"/>
          <w:sz w:val="28"/>
          <w:szCs w:val="28"/>
        </w:rPr>
        <w:t>用户扫码或</w:t>
      </w:r>
      <w:proofErr w:type="gramEnd"/>
      <w:r>
        <w:rPr>
          <w:rFonts w:ascii="宋体" w:hAnsi="宋体" w:hint="eastAsia"/>
          <w:sz w:val="28"/>
          <w:szCs w:val="28"/>
        </w:rPr>
        <w:t>刷卡记录进行统计，地铁的出行距离</w:t>
      </w:r>
      <w:proofErr w:type="gramStart"/>
      <w:r>
        <w:rPr>
          <w:rFonts w:ascii="宋体" w:hAnsi="宋体" w:hint="eastAsia"/>
          <w:sz w:val="28"/>
          <w:szCs w:val="28"/>
        </w:rPr>
        <w:t>根据扫码或</w:t>
      </w:r>
      <w:proofErr w:type="gramEnd"/>
      <w:r>
        <w:rPr>
          <w:rFonts w:ascii="宋体" w:hAnsi="宋体" w:hint="eastAsia"/>
          <w:sz w:val="28"/>
          <w:szCs w:val="28"/>
        </w:rPr>
        <w:t>刷卡记录并根据低碳路线规划站点距离计算。</w:t>
      </w:r>
    </w:p>
    <w:p w14:paraId="10D4E34C" w14:textId="77777777" w:rsidR="000F3EC2"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（2）缺省数据说明</w:t>
      </w:r>
    </w:p>
    <w:p w14:paraId="52208624" w14:textId="77777777" w:rsidR="000F3EC2"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本方法学中使用的缺省数据主要包括：基准线情景城市交通出行的人公里排放因子、注册用户乘坐公共汽车出行的平均乘距、上一年度用户乘坐交通工具t的每日平均出行次数。其中基准线情景城市交通出行的人公里排放因子根据交通工具t对燃料类型k的每公里消耗量、燃料类型k的CO</w:t>
      </w:r>
      <w:r>
        <w:rPr>
          <w:rFonts w:ascii="宋体" w:hAnsi="宋体" w:hint="eastAsia"/>
          <w:sz w:val="28"/>
          <w:szCs w:val="28"/>
          <w:vertAlign w:val="subscript"/>
        </w:rPr>
        <w:t>2</w:t>
      </w:r>
      <w:r>
        <w:rPr>
          <w:rFonts w:ascii="宋体" w:hAnsi="宋体" w:hint="eastAsia"/>
          <w:sz w:val="28"/>
          <w:szCs w:val="28"/>
        </w:rPr>
        <w:t>排放因子、非公共出行交通工具的年均行驶里程、非公共出行交通工具的数量、每种交通工具的客运量、乘客乘</w:t>
      </w:r>
      <w:r>
        <w:rPr>
          <w:rFonts w:ascii="宋体" w:hAnsi="宋体" w:hint="eastAsia"/>
          <w:sz w:val="28"/>
          <w:szCs w:val="28"/>
        </w:rPr>
        <w:lastRenderedPageBreak/>
        <w:t>坐交通工具的平均乘距、交通工具t的年耗电量等数据计算获得。</w:t>
      </w:r>
    </w:p>
    <w:p w14:paraId="44C7015F" w14:textId="77777777" w:rsidR="000F3EC2" w:rsidRDefault="00000000">
      <w:pPr>
        <w:adjustRightInd w:val="0"/>
        <w:snapToGrid w:val="0"/>
        <w:spacing w:line="360" w:lineRule="auto"/>
        <w:ind w:firstLineChars="200" w:firstLine="560"/>
        <w:rPr>
          <w:rFonts w:ascii="宋体" w:hAnsi="宋体" w:hint="eastAsia"/>
          <w:sz w:val="28"/>
          <w:szCs w:val="28"/>
        </w:rPr>
      </w:pPr>
      <w:proofErr w:type="gramStart"/>
      <w:r>
        <w:rPr>
          <w:rFonts w:ascii="宋体" w:hAnsi="宋体" w:hint="eastAsia"/>
          <w:sz w:val="28"/>
          <w:szCs w:val="28"/>
        </w:rPr>
        <w:t>一</w:t>
      </w:r>
      <w:proofErr w:type="gramEnd"/>
      <w:r>
        <w:rPr>
          <w:rFonts w:ascii="宋体" w:hAnsi="宋体" w:hint="eastAsia"/>
          <w:sz w:val="28"/>
          <w:szCs w:val="28"/>
        </w:rPr>
        <w:t>是非公共出行交通工具的各项参数：</w:t>
      </w:r>
    </w:p>
    <w:p w14:paraId="218C81BD" w14:textId="049DEE72" w:rsidR="000F3EC2" w:rsidRDefault="00000000">
      <w:pPr>
        <w:adjustRightInd w:val="0"/>
        <w:snapToGrid w:val="0"/>
        <w:spacing w:line="360" w:lineRule="auto"/>
        <w:ind w:firstLineChars="200" w:firstLine="560"/>
        <w:rPr>
          <w:rFonts w:ascii="宋体" w:hAnsi="宋体" w:hint="eastAsia"/>
          <w:sz w:val="28"/>
          <w:szCs w:val="28"/>
        </w:rPr>
      </w:pPr>
      <w:proofErr w:type="gramStart"/>
      <w:r>
        <w:rPr>
          <w:rFonts w:ascii="宋体" w:hAnsi="宋体" w:hint="eastAsia"/>
          <w:sz w:val="28"/>
          <w:szCs w:val="28"/>
        </w:rPr>
        <w:t>百公里</w:t>
      </w:r>
      <w:proofErr w:type="gramEnd"/>
      <w:r>
        <w:rPr>
          <w:rFonts w:ascii="宋体" w:hAnsi="宋体" w:hint="eastAsia"/>
          <w:sz w:val="28"/>
          <w:szCs w:val="28"/>
        </w:rPr>
        <w:t>能耗：主要为各项交通工具的能耗指标，其中私人小汽车的数据均取自小熊油耗数据平台数据调研结果。纯电动出租车的数据取自比亚</w:t>
      </w:r>
      <w:proofErr w:type="gramStart"/>
      <w:r>
        <w:rPr>
          <w:rFonts w:ascii="宋体" w:hAnsi="宋体" w:hint="eastAsia"/>
          <w:sz w:val="28"/>
          <w:szCs w:val="28"/>
        </w:rPr>
        <w:t>迪</w:t>
      </w:r>
      <w:proofErr w:type="gramEnd"/>
      <w:r>
        <w:rPr>
          <w:rFonts w:ascii="宋体" w:hAnsi="宋体" w:hint="eastAsia"/>
          <w:sz w:val="28"/>
          <w:szCs w:val="28"/>
        </w:rPr>
        <w:t>e</w:t>
      </w:r>
      <w:r>
        <w:rPr>
          <w:rFonts w:ascii="宋体" w:hAnsi="宋体"/>
          <w:sz w:val="28"/>
          <w:szCs w:val="28"/>
        </w:rPr>
        <w:t>6</w:t>
      </w:r>
      <w:r>
        <w:rPr>
          <w:rFonts w:ascii="宋体" w:hAnsi="宋体" w:hint="eastAsia"/>
          <w:sz w:val="28"/>
          <w:szCs w:val="28"/>
        </w:rPr>
        <w:t>公布信息，</w:t>
      </w:r>
      <w:proofErr w:type="gramStart"/>
      <w:r>
        <w:rPr>
          <w:rFonts w:ascii="宋体" w:hAnsi="宋体" w:hint="eastAsia"/>
          <w:sz w:val="28"/>
          <w:szCs w:val="28"/>
        </w:rPr>
        <w:t>网约车的</w:t>
      </w:r>
      <w:proofErr w:type="gramEnd"/>
      <w:r>
        <w:rPr>
          <w:rFonts w:ascii="宋体" w:hAnsi="宋体" w:hint="eastAsia"/>
          <w:sz w:val="28"/>
          <w:szCs w:val="28"/>
        </w:rPr>
        <w:t>数据取自滴滴调研结果。</w:t>
      </w:r>
    </w:p>
    <w:p w14:paraId="34D607DE" w14:textId="0CA634F2" w:rsidR="000F3EC2" w:rsidRDefault="00000000">
      <w:pPr>
        <w:adjustRightInd w:val="0"/>
        <w:snapToGrid w:val="0"/>
        <w:spacing w:beforeLines="50" w:before="163" w:line="360" w:lineRule="auto"/>
        <w:ind w:firstLine="482"/>
        <w:rPr>
          <w:rFonts w:ascii="宋体" w:hAnsi="宋体" w:hint="eastAsia"/>
          <w:sz w:val="28"/>
          <w:szCs w:val="28"/>
        </w:rPr>
      </w:pPr>
      <w:r>
        <w:rPr>
          <w:rFonts w:ascii="宋体" w:hAnsi="宋体" w:hint="eastAsia"/>
          <w:sz w:val="28"/>
          <w:szCs w:val="28"/>
        </w:rPr>
        <w:t>碳排放因子：主要分为汽油和电力的碳排放因子，汽油取自《广东省市县（区）级温室气体清单》；电力碳排放因子根据国家发布各年份广东省电力因子，</w:t>
      </w:r>
      <w:proofErr w:type="gramStart"/>
      <w:r>
        <w:rPr>
          <w:rFonts w:ascii="宋体" w:hAnsi="宋体" w:hint="eastAsia"/>
          <w:sz w:val="28"/>
          <w:szCs w:val="28"/>
        </w:rPr>
        <w:t>未发布年份取最近</w:t>
      </w:r>
      <w:proofErr w:type="gramEnd"/>
      <w:r>
        <w:rPr>
          <w:rFonts w:ascii="宋体" w:hAnsi="宋体" w:hint="eastAsia"/>
          <w:sz w:val="28"/>
          <w:szCs w:val="28"/>
        </w:rPr>
        <w:t>可得的年份数据。</w:t>
      </w:r>
    </w:p>
    <w:p w14:paraId="453D6BBD" w14:textId="1FC66ED4" w:rsidR="000F3EC2" w:rsidRDefault="00000000">
      <w:pPr>
        <w:adjustRightInd w:val="0"/>
        <w:snapToGrid w:val="0"/>
        <w:spacing w:beforeLines="50" w:before="163" w:line="360" w:lineRule="auto"/>
        <w:ind w:firstLine="482"/>
        <w:rPr>
          <w:rFonts w:ascii="宋体" w:hAnsi="宋体" w:hint="eastAsia"/>
          <w:sz w:val="28"/>
          <w:szCs w:val="28"/>
        </w:rPr>
      </w:pPr>
      <w:r>
        <w:rPr>
          <w:rFonts w:ascii="宋体" w:hAnsi="宋体" w:hint="eastAsia"/>
          <w:sz w:val="28"/>
          <w:szCs w:val="28"/>
        </w:rPr>
        <w:t>车辆数：车辆</w:t>
      </w:r>
      <w:proofErr w:type="gramStart"/>
      <w:r>
        <w:rPr>
          <w:rFonts w:ascii="宋体" w:hAnsi="宋体" w:hint="eastAsia"/>
          <w:sz w:val="28"/>
          <w:szCs w:val="28"/>
        </w:rPr>
        <w:t>数数据</w:t>
      </w:r>
      <w:proofErr w:type="gramEnd"/>
      <w:r>
        <w:rPr>
          <w:rFonts w:ascii="宋体" w:hAnsi="宋体" w:hint="eastAsia"/>
          <w:sz w:val="28"/>
          <w:szCs w:val="28"/>
        </w:rPr>
        <w:t>通过正式调研深圳市公安局交通警察局获得数据。</w:t>
      </w:r>
    </w:p>
    <w:p w14:paraId="3C55F470" w14:textId="77777777" w:rsidR="000F3EC2" w:rsidRDefault="00000000">
      <w:pPr>
        <w:adjustRightInd w:val="0"/>
        <w:snapToGrid w:val="0"/>
        <w:spacing w:beforeLines="50" w:before="163" w:line="360" w:lineRule="auto"/>
        <w:ind w:firstLine="482"/>
        <w:rPr>
          <w:rFonts w:ascii="宋体" w:hAnsi="宋体" w:hint="eastAsia"/>
          <w:sz w:val="28"/>
          <w:szCs w:val="28"/>
        </w:rPr>
      </w:pPr>
      <w:r>
        <w:rPr>
          <w:rFonts w:ascii="宋体" w:hAnsi="宋体" w:hint="eastAsia"/>
          <w:sz w:val="28"/>
          <w:szCs w:val="28"/>
        </w:rPr>
        <w:t>年均行驶里程：非公共出行中各类私人小汽车的年均行驶数据同样取自小熊油耗数据平台数据调研结果，纯电动出租车的年均行驶里程数据取自交通运输局，纯电动</w:t>
      </w:r>
      <w:proofErr w:type="gramStart"/>
      <w:r>
        <w:rPr>
          <w:rFonts w:ascii="宋体" w:hAnsi="宋体" w:hint="eastAsia"/>
          <w:sz w:val="28"/>
          <w:szCs w:val="28"/>
        </w:rPr>
        <w:t>网约车的</w:t>
      </w:r>
      <w:proofErr w:type="gramEnd"/>
      <w:r>
        <w:rPr>
          <w:rFonts w:ascii="宋体" w:hAnsi="宋体" w:hint="eastAsia"/>
          <w:sz w:val="28"/>
          <w:szCs w:val="28"/>
        </w:rPr>
        <w:t>年均行驶里程数据取自滴滴和交通运输局。</w:t>
      </w:r>
    </w:p>
    <w:p w14:paraId="2246F239" w14:textId="77777777" w:rsidR="000F3EC2" w:rsidRDefault="00000000">
      <w:pPr>
        <w:adjustRightInd w:val="0"/>
        <w:snapToGrid w:val="0"/>
        <w:spacing w:beforeLines="50" w:before="163" w:line="360" w:lineRule="auto"/>
        <w:ind w:firstLine="482"/>
        <w:rPr>
          <w:rFonts w:ascii="宋体" w:hAnsi="宋体" w:hint="eastAsia"/>
          <w:sz w:val="28"/>
          <w:szCs w:val="28"/>
        </w:rPr>
      </w:pPr>
      <w:bookmarkStart w:id="23" w:name="_Toc88473807"/>
      <w:r>
        <w:rPr>
          <w:rFonts w:ascii="宋体" w:hAnsi="宋体" w:hint="eastAsia"/>
          <w:sz w:val="28"/>
          <w:szCs w:val="28"/>
        </w:rPr>
        <w:t>二是低碳公共出行</w:t>
      </w:r>
      <w:r>
        <w:rPr>
          <w:rFonts w:ascii="宋体" w:hAnsi="宋体"/>
          <w:sz w:val="28"/>
          <w:szCs w:val="28"/>
        </w:rPr>
        <w:t>交通工具</w:t>
      </w:r>
      <w:r>
        <w:rPr>
          <w:rFonts w:ascii="宋体" w:hAnsi="宋体" w:hint="eastAsia"/>
          <w:sz w:val="28"/>
          <w:szCs w:val="28"/>
        </w:rPr>
        <w:t>的各项参数</w:t>
      </w:r>
      <w:bookmarkEnd w:id="23"/>
      <w:r>
        <w:rPr>
          <w:rFonts w:ascii="宋体" w:hAnsi="宋体" w:hint="eastAsia"/>
          <w:sz w:val="28"/>
          <w:szCs w:val="28"/>
        </w:rPr>
        <w:t>：</w:t>
      </w:r>
    </w:p>
    <w:p w14:paraId="16C73200" w14:textId="77777777" w:rsidR="000F3EC2" w:rsidRDefault="00000000">
      <w:pPr>
        <w:adjustRightInd w:val="0"/>
        <w:snapToGrid w:val="0"/>
        <w:spacing w:line="360" w:lineRule="auto"/>
        <w:ind w:firstLine="482"/>
        <w:rPr>
          <w:rFonts w:ascii="宋体" w:hAnsi="宋体" w:hint="eastAsia"/>
          <w:sz w:val="28"/>
          <w:szCs w:val="28"/>
        </w:rPr>
      </w:pPr>
      <w:r>
        <w:rPr>
          <w:rFonts w:ascii="宋体" w:hAnsi="宋体" w:hint="eastAsia"/>
          <w:sz w:val="28"/>
          <w:szCs w:val="28"/>
        </w:rPr>
        <w:t>碳排放因子：低碳公共出行交通工具（即公共汽车和地铁）的汽油、柴油和天然气碳排放因子同样取自《广东省市县（区）级温室气体清单》，电力碳排放因子根据国家发布的各年份广东省的电力因子。</w:t>
      </w:r>
    </w:p>
    <w:p w14:paraId="434A586A" w14:textId="180D3895" w:rsidR="000F3EC2" w:rsidRDefault="00000000">
      <w:pPr>
        <w:adjustRightInd w:val="0"/>
        <w:snapToGrid w:val="0"/>
        <w:spacing w:beforeLines="50" w:before="163" w:line="360" w:lineRule="auto"/>
        <w:ind w:firstLine="482"/>
        <w:rPr>
          <w:rFonts w:ascii="宋体" w:hAnsi="宋体" w:hint="eastAsia"/>
          <w:sz w:val="28"/>
          <w:szCs w:val="28"/>
        </w:rPr>
      </w:pPr>
      <w:r>
        <w:rPr>
          <w:rFonts w:ascii="宋体" w:hAnsi="宋体" w:hint="eastAsia"/>
          <w:sz w:val="28"/>
          <w:szCs w:val="28"/>
        </w:rPr>
        <w:t>年度耗电量：低碳公共出行交通工具（即公共汽车和地铁）的年度用能总量数据来源于交通运输局，包括附属设施能耗。</w:t>
      </w:r>
    </w:p>
    <w:p w14:paraId="30A237FA" w14:textId="44F80579" w:rsidR="000F3EC2" w:rsidRDefault="00000000">
      <w:pPr>
        <w:adjustRightInd w:val="0"/>
        <w:snapToGrid w:val="0"/>
        <w:spacing w:beforeLines="50" w:before="163" w:line="360" w:lineRule="auto"/>
        <w:ind w:firstLine="482"/>
        <w:rPr>
          <w:rFonts w:ascii="宋体" w:hAnsi="宋体" w:hint="eastAsia"/>
          <w:sz w:val="28"/>
          <w:szCs w:val="28"/>
        </w:rPr>
      </w:pPr>
      <w:r>
        <w:rPr>
          <w:rFonts w:ascii="宋体" w:hAnsi="宋体" w:hint="eastAsia"/>
          <w:sz w:val="28"/>
          <w:szCs w:val="28"/>
        </w:rPr>
        <w:t>年度平均运距：非公共出行交通工具的年度平均运距数据通过其他参数计算获得，低碳公共出行交通工具的年度平均</w:t>
      </w:r>
      <w:proofErr w:type="gramStart"/>
      <w:r>
        <w:rPr>
          <w:rFonts w:ascii="宋体" w:hAnsi="宋体" w:hint="eastAsia"/>
          <w:sz w:val="28"/>
          <w:szCs w:val="28"/>
        </w:rPr>
        <w:t>乘距通过</w:t>
      </w:r>
      <w:proofErr w:type="gramEnd"/>
      <w:r>
        <w:rPr>
          <w:rFonts w:ascii="宋体" w:hAnsi="宋体" w:hint="eastAsia"/>
          <w:sz w:val="28"/>
          <w:szCs w:val="28"/>
        </w:rPr>
        <w:t>交通运输局获得数据。其中关于公共汽车的</w:t>
      </w:r>
      <w:proofErr w:type="gramStart"/>
      <w:r>
        <w:rPr>
          <w:rFonts w:ascii="宋体" w:hAnsi="宋体" w:hint="eastAsia"/>
          <w:sz w:val="28"/>
          <w:szCs w:val="28"/>
        </w:rPr>
        <w:t>平均乘距取值</w:t>
      </w:r>
      <w:proofErr w:type="gramEnd"/>
      <w:r>
        <w:rPr>
          <w:rFonts w:ascii="宋体" w:hAnsi="宋体" w:hint="eastAsia"/>
          <w:sz w:val="28"/>
          <w:szCs w:val="28"/>
        </w:rPr>
        <w:t>主要是取巴士集团</w:t>
      </w:r>
      <w:r>
        <w:rPr>
          <w:rFonts w:ascii="宋体" w:hAnsi="宋体" w:hint="eastAsia"/>
          <w:sz w:val="28"/>
          <w:szCs w:val="28"/>
        </w:rPr>
        <w:lastRenderedPageBreak/>
        <w:t>数据计算平均运距（由于东西部公交承运地理位置原因，造成平均运距较大，远超居民正常出行距离，因此取巴士集团平均运距）。</w:t>
      </w:r>
    </w:p>
    <w:p w14:paraId="557B953F" w14:textId="58346993" w:rsidR="000F3EC2" w:rsidRDefault="00000000">
      <w:pPr>
        <w:adjustRightInd w:val="0"/>
        <w:snapToGrid w:val="0"/>
        <w:spacing w:beforeLines="50" w:before="163" w:line="360" w:lineRule="auto"/>
        <w:ind w:firstLine="482"/>
        <w:rPr>
          <w:rFonts w:ascii="宋体" w:hAnsi="宋体" w:hint="eastAsia"/>
          <w:sz w:val="28"/>
          <w:szCs w:val="28"/>
        </w:rPr>
      </w:pPr>
      <w:r>
        <w:rPr>
          <w:rFonts w:ascii="宋体" w:hAnsi="宋体" w:hint="eastAsia"/>
          <w:sz w:val="28"/>
          <w:szCs w:val="28"/>
        </w:rPr>
        <w:t>年度累计客运量：低碳公共出行交通工具的年度累计客运量采用交通运输局数据。</w:t>
      </w:r>
    </w:p>
    <w:p w14:paraId="714362AB" w14:textId="5DB52B1A" w:rsidR="000F3EC2" w:rsidRDefault="00000000">
      <w:pPr>
        <w:adjustRightInd w:val="0"/>
        <w:snapToGrid w:val="0"/>
        <w:spacing w:beforeLines="50" w:before="163" w:line="360" w:lineRule="auto"/>
        <w:ind w:firstLine="482"/>
        <w:rPr>
          <w:rFonts w:ascii="宋体" w:hAnsi="宋体" w:hint="eastAsia"/>
          <w:sz w:val="28"/>
          <w:szCs w:val="28"/>
        </w:rPr>
      </w:pPr>
      <w:r>
        <w:rPr>
          <w:rFonts w:ascii="宋体" w:hAnsi="宋体" w:hint="eastAsia"/>
          <w:sz w:val="28"/>
          <w:szCs w:val="28"/>
        </w:rPr>
        <w:t>其他参数说明：私人小汽车和出租汽车的每次载客量和每日载运次数引用自《碳普惠制下居民公共汽车车出行减碳量核算方法研究》。</w:t>
      </w:r>
    </w:p>
    <w:p w14:paraId="134F0F5E" w14:textId="5C5AEED2" w:rsidR="000F3EC2" w:rsidRDefault="00000000">
      <w:pPr>
        <w:adjustRightInd w:val="0"/>
        <w:snapToGrid w:val="0"/>
        <w:spacing w:beforeLines="50" w:before="163" w:line="360" w:lineRule="auto"/>
        <w:ind w:firstLineChars="200" w:firstLine="560"/>
        <w:rPr>
          <w:rFonts w:ascii="宋体" w:hAnsi="宋体" w:hint="eastAsia"/>
          <w:sz w:val="28"/>
          <w:szCs w:val="28"/>
        </w:rPr>
      </w:pPr>
      <w:r>
        <w:rPr>
          <w:rFonts w:ascii="宋体" w:hAnsi="宋体" w:hint="eastAsia"/>
          <w:sz w:val="28"/>
          <w:szCs w:val="28"/>
        </w:rPr>
        <w:t>经过测算，得出2023年-2025年的人公里排放因子。</w:t>
      </w:r>
    </w:p>
    <w:p w14:paraId="3678D306" w14:textId="032A07F3" w:rsidR="000F3EC2" w:rsidRDefault="00000000">
      <w:pPr>
        <w:adjustRightInd w:val="0"/>
        <w:snapToGrid w:val="0"/>
        <w:spacing w:beforeLines="50" w:before="163" w:line="360" w:lineRule="auto"/>
        <w:ind w:firstLineChars="200" w:firstLine="560"/>
        <w:rPr>
          <w:rFonts w:ascii="宋体" w:hAnsi="宋体" w:hint="eastAsia"/>
          <w:sz w:val="28"/>
          <w:szCs w:val="28"/>
        </w:rPr>
      </w:pPr>
      <w:r>
        <w:rPr>
          <w:rFonts w:ascii="宋体" w:hAnsi="宋体" w:hint="eastAsia"/>
          <w:sz w:val="28"/>
          <w:szCs w:val="28"/>
        </w:rPr>
        <w:t>注册用户乘坐公共汽车出行的</w:t>
      </w:r>
      <w:proofErr w:type="gramStart"/>
      <w:r>
        <w:rPr>
          <w:rFonts w:ascii="宋体" w:hAnsi="宋体" w:hint="eastAsia"/>
          <w:sz w:val="28"/>
          <w:szCs w:val="28"/>
        </w:rPr>
        <w:t>平均乘距参见</w:t>
      </w:r>
      <w:proofErr w:type="gramEnd"/>
      <w:r>
        <w:rPr>
          <w:rFonts w:ascii="宋体" w:hAnsi="宋体" w:hint="eastAsia"/>
          <w:sz w:val="28"/>
          <w:szCs w:val="28"/>
        </w:rPr>
        <w:t>纯电动公共汽车的</w:t>
      </w:r>
      <w:proofErr w:type="gramStart"/>
      <w:r>
        <w:rPr>
          <w:rFonts w:ascii="宋体" w:hAnsi="宋体" w:hint="eastAsia"/>
          <w:sz w:val="28"/>
          <w:szCs w:val="28"/>
        </w:rPr>
        <w:t>平均乘距数据</w:t>
      </w:r>
      <w:proofErr w:type="gramEnd"/>
      <w:r>
        <w:rPr>
          <w:rFonts w:ascii="宋体" w:hAnsi="宋体" w:hint="eastAsia"/>
          <w:sz w:val="28"/>
          <w:szCs w:val="28"/>
        </w:rPr>
        <w:t>。</w:t>
      </w:r>
    </w:p>
    <w:p w14:paraId="5444710F" w14:textId="7F9FA6A2" w:rsidR="000F3EC2"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上一年度用户乘坐交通工具t的每日平均出行次数根据公共汽车和地铁运营公司提供数据计算获得，每日平均出行次数=日出行总次数/出行人数，年度每日平均出行次数=每日平均出行次数之和/年度天数，按</w:t>
      </w:r>
      <w:proofErr w:type="gramStart"/>
      <w:r>
        <w:rPr>
          <w:rFonts w:ascii="宋体" w:hAnsi="宋体" w:hint="eastAsia"/>
          <w:sz w:val="28"/>
          <w:szCs w:val="28"/>
        </w:rPr>
        <w:t>截尾取</w:t>
      </w:r>
      <w:proofErr w:type="gramEnd"/>
      <w:r>
        <w:rPr>
          <w:rFonts w:ascii="宋体" w:hAnsi="宋体" w:hint="eastAsia"/>
          <w:sz w:val="28"/>
          <w:szCs w:val="28"/>
        </w:rPr>
        <w:t>整原则。</w:t>
      </w:r>
    </w:p>
    <w:p w14:paraId="587B1FC7" w14:textId="77777777" w:rsidR="000F3EC2" w:rsidRDefault="00000000">
      <w:pPr>
        <w:pStyle w:val="1"/>
        <w:numPr>
          <w:ilvl w:val="0"/>
          <w:numId w:val="7"/>
        </w:numPr>
        <w:spacing w:before="0" w:after="0" w:line="360" w:lineRule="auto"/>
        <w:ind w:left="0" w:firstLineChars="200" w:firstLine="602"/>
        <w:jc w:val="left"/>
        <w:rPr>
          <w:sz w:val="30"/>
        </w:rPr>
      </w:pPr>
      <w:r>
        <w:rPr>
          <w:rFonts w:hint="eastAsia"/>
          <w:sz w:val="30"/>
        </w:rPr>
        <w:t>减排量测算分析</w:t>
      </w:r>
    </w:p>
    <w:p w14:paraId="067F03AB" w14:textId="77777777" w:rsidR="000F3EC2"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基于方法学计算逻辑，选取项目开展1个自然年的减排量测算。同时，结合深圳市内项目的应用和普及情况，测算深圳市1个自然年的减排量规模。</w:t>
      </w:r>
    </w:p>
    <w:p w14:paraId="51BC5996" w14:textId="77777777" w:rsidR="000F3EC2" w:rsidRDefault="00000000">
      <w:pPr>
        <w:adjustRightInd w:val="0"/>
        <w:snapToGrid w:val="0"/>
        <w:spacing w:before="120" w:after="120"/>
        <w:ind w:firstLine="562"/>
        <w:rPr>
          <w:rFonts w:ascii="宋体" w:hAnsi="宋体" w:hint="eastAsia"/>
          <w:b/>
          <w:bCs/>
          <w:sz w:val="28"/>
          <w:szCs w:val="28"/>
        </w:rPr>
      </w:pPr>
      <w:r>
        <w:rPr>
          <w:rFonts w:ascii="宋体" w:hAnsi="宋体" w:hint="eastAsia"/>
          <w:b/>
          <w:bCs/>
          <w:sz w:val="28"/>
          <w:szCs w:val="28"/>
        </w:rPr>
        <w:t>1.项目减排量测算</w:t>
      </w:r>
    </w:p>
    <w:p w14:paraId="5A2E4ED2" w14:textId="31808C25" w:rsidR="000F3EC2" w:rsidRDefault="00000000">
      <w:pPr>
        <w:spacing w:line="360" w:lineRule="auto"/>
        <w:ind w:firstLineChars="200" w:firstLine="560"/>
        <w:rPr>
          <w:rFonts w:ascii="宋体" w:hAnsi="宋体" w:hint="eastAsia"/>
          <w:sz w:val="28"/>
          <w:szCs w:val="28"/>
        </w:rPr>
      </w:pPr>
      <w:r>
        <w:rPr>
          <w:rFonts w:hint="eastAsia"/>
          <w:sz w:val="28"/>
          <w:szCs w:val="28"/>
        </w:rPr>
        <w:t>以深圳通</w:t>
      </w:r>
      <w:r>
        <w:rPr>
          <w:rFonts w:hint="eastAsia"/>
          <w:sz w:val="28"/>
          <w:szCs w:val="28"/>
        </w:rPr>
        <w:t>2024</w:t>
      </w:r>
      <w:r>
        <w:rPr>
          <w:rFonts w:hint="eastAsia"/>
          <w:sz w:val="28"/>
          <w:szCs w:val="28"/>
        </w:rPr>
        <w:t>年运营项目为例，基准线情景和项目情景排放因子采用</w:t>
      </w:r>
      <w:r>
        <w:rPr>
          <w:rFonts w:hint="eastAsia"/>
          <w:sz w:val="28"/>
          <w:szCs w:val="28"/>
        </w:rPr>
        <w:t>2022</w:t>
      </w:r>
      <w:r>
        <w:rPr>
          <w:rFonts w:hint="eastAsia"/>
          <w:sz w:val="28"/>
          <w:szCs w:val="28"/>
        </w:rPr>
        <w:t>年数据计算获得</w:t>
      </w:r>
      <w:r>
        <w:rPr>
          <w:rFonts w:hint="eastAsia"/>
          <w:sz w:val="28"/>
          <w:szCs w:val="28"/>
        </w:rPr>
        <w:t>2024</w:t>
      </w:r>
      <w:r>
        <w:rPr>
          <w:rFonts w:hint="eastAsia"/>
          <w:sz w:val="28"/>
          <w:szCs w:val="28"/>
        </w:rPr>
        <w:t>年的</w:t>
      </w:r>
      <w:r>
        <w:rPr>
          <w:rFonts w:ascii="宋体" w:hAnsi="宋体" w:hint="eastAsia"/>
          <w:sz w:val="28"/>
          <w:szCs w:val="28"/>
        </w:rPr>
        <w:t>人公里排放因子，经计算（详见测算表），2024年的减排量为174201 tCO</w:t>
      </w:r>
      <w:r>
        <w:rPr>
          <w:rFonts w:ascii="宋体" w:hAnsi="宋体" w:hint="eastAsia"/>
          <w:sz w:val="28"/>
          <w:szCs w:val="28"/>
          <w:vertAlign w:val="subscript"/>
        </w:rPr>
        <w:t>2</w:t>
      </w:r>
    </w:p>
    <w:p w14:paraId="3D92BA90" w14:textId="77777777" w:rsidR="000F3EC2" w:rsidRDefault="00000000">
      <w:pPr>
        <w:adjustRightInd w:val="0"/>
        <w:snapToGrid w:val="0"/>
        <w:spacing w:line="360" w:lineRule="auto"/>
        <w:ind w:firstLineChars="200" w:firstLine="562"/>
        <w:rPr>
          <w:rFonts w:ascii="宋体" w:hAnsi="宋体" w:hint="eastAsia"/>
          <w:b/>
          <w:bCs/>
          <w:sz w:val="28"/>
          <w:szCs w:val="28"/>
        </w:rPr>
      </w:pPr>
      <w:r>
        <w:rPr>
          <w:rFonts w:ascii="宋体" w:hAnsi="宋体" w:hint="eastAsia"/>
          <w:b/>
          <w:bCs/>
          <w:sz w:val="28"/>
          <w:szCs w:val="28"/>
        </w:rPr>
        <w:t>2.深圳市范围</w:t>
      </w:r>
      <w:proofErr w:type="gramStart"/>
      <w:r>
        <w:rPr>
          <w:rFonts w:ascii="宋体" w:hAnsi="宋体" w:hint="eastAsia"/>
          <w:b/>
          <w:bCs/>
          <w:sz w:val="28"/>
          <w:szCs w:val="28"/>
        </w:rPr>
        <w:t>内减排规模</w:t>
      </w:r>
      <w:proofErr w:type="gramEnd"/>
      <w:r>
        <w:rPr>
          <w:rFonts w:ascii="宋体" w:hAnsi="宋体" w:hint="eastAsia"/>
          <w:b/>
          <w:bCs/>
          <w:sz w:val="28"/>
          <w:szCs w:val="28"/>
        </w:rPr>
        <w:t>测算</w:t>
      </w:r>
    </w:p>
    <w:p w14:paraId="410BEBD9" w14:textId="77777777" w:rsidR="000F3EC2"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深圳全市规模同上。</w:t>
      </w:r>
    </w:p>
    <w:sectPr w:rsidR="000F3EC2">
      <w:headerReference w:type="even" r:id="rId14"/>
      <w:headerReference w:type="default" r:id="rId15"/>
      <w:footerReference w:type="even" r:id="rId16"/>
      <w:footerReference w:type="default" r:id="rId17"/>
      <w:headerReference w:type="first" r:id="rId18"/>
      <w:pgSz w:w="11906" w:h="16838"/>
      <w:pgMar w:top="1440" w:right="1800" w:bottom="1440" w:left="1800" w:header="1417" w:footer="1134" w:gutter="0"/>
      <w:pgNumType w:start="1"/>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46FFF" w14:textId="77777777" w:rsidR="00984287" w:rsidRDefault="00984287">
      <w:r>
        <w:separator/>
      </w:r>
    </w:p>
  </w:endnote>
  <w:endnote w:type="continuationSeparator" w:id="0">
    <w:p w14:paraId="37332CFC" w14:textId="77777777" w:rsidR="00984287" w:rsidRDefault="00984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88F09" w14:textId="77777777" w:rsidR="000F3EC2" w:rsidRDefault="00000000">
    <w:pPr>
      <w:pStyle w:val="ae"/>
      <w:spacing w:before="120" w:after="120"/>
      <w:ind w:firstLine="360"/>
      <w:jc w:val="center"/>
    </w:pPr>
    <w:r>
      <w:rPr>
        <w:noProof/>
      </w:rPr>
      <mc:AlternateContent>
        <mc:Choice Requires="wps">
          <w:drawing>
            <wp:anchor distT="0" distB="0" distL="114300" distR="114300" simplePos="0" relativeHeight="251662336" behindDoc="0" locked="0" layoutInCell="1" allowOverlap="1" wp14:anchorId="73B2F691" wp14:editId="33AA1AAD">
              <wp:simplePos x="0" y="0"/>
              <wp:positionH relativeFrom="margin">
                <wp:align>center</wp:align>
              </wp:positionH>
              <wp:positionV relativeFrom="paragraph">
                <wp:posOffset>0</wp:posOffset>
              </wp:positionV>
              <wp:extent cx="114935" cy="131445"/>
              <wp:effectExtent l="0" t="3175" r="635" b="0"/>
              <wp:wrapNone/>
              <wp:docPr id="98167607" name="文本框 10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BE4D767" w14:textId="77777777" w:rsidR="000F3EC2" w:rsidRDefault="00000000">
                          <w:pPr>
                            <w:pStyle w:val="ae"/>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type w14:anchorId="73B2F691" id="_x0000_t202" coordsize="21600,21600" o:spt="202" path="m,l,21600r21600,l21600,xe">
              <v:stroke joinstyle="miter"/>
              <v:path gradientshapeok="t" o:connecttype="rect"/>
            </v:shapetype>
            <v:shape id="文本框 1088" o:spid="_x0000_s1026" type="#_x0000_t202" style="position:absolute;left:0;text-align:left;margin-left:0;margin-top:0;width:9.0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" filled="f" stroked="f">
              <v:textbox style="mso-fit-shape-to-text:t" inset="0,0,0,0">
                <w:txbxContent>
                  <w:p w14:paraId="0BE4D767" w14:textId="77777777" w:rsidR="000F3EC2" w:rsidRDefault="00000000">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14:paraId="47241D1E" w14:textId="77777777" w:rsidR="000F3EC2" w:rsidRDefault="000F3EC2">
    <w:pPr>
      <w:pStyle w:val="ae"/>
      <w:spacing w:before="120" w:after="12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B81FB" w14:textId="77777777" w:rsidR="000F3EC2" w:rsidRDefault="00000000">
    <w:pPr>
      <w:pStyle w:val="ae"/>
      <w:spacing w:before="120" w:after="120"/>
    </w:pPr>
    <w:r>
      <w:rPr>
        <w:noProof/>
      </w:rPr>
      <mc:AlternateContent>
        <mc:Choice Requires="wps">
          <w:drawing>
            <wp:anchor distT="0" distB="0" distL="114300" distR="114300" simplePos="0" relativeHeight="251661312" behindDoc="0" locked="0" layoutInCell="1" allowOverlap="1" wp14:anchorId="1FCE3E62" wp14:editId="463BFFC8">
              <wp:simplePos x="0" y="0"/>
              <wp:positionH relativeFrom="margin">
                <wp:align>center</wp:align>
              </wp:positionH>
              <wp:positionV relativeFrom="paragraph">
                <wp:posOffset>0</wp:posOffset>
              </wp:positionV>
              <wp:extent cx="1828800" cy="1828800"/>
              <wp:effectExtent l="0" t="0" r="0" b="0"/>
              <wp:wrapNone/>
              <wp:docPr id="1000635574" name="文本框 10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129E9D53" w14:textId="77777777" w:rsidR="000F3EC2" w:rsidRDefault="000F3EC2">
                          <w:pPr>
                            <w:pStyle w:val="ae"/>
                          </w:pPr>
                        </w:p>
                      </w:txbxContent>
                    </wps:txbx>
                    <wps:bodyPr rot="0" vert="horz" wrap="none" lIns="0" tIns="0" rIns="0" bIns="0" anchor="t" anchorCtr="0" upright="1">
                      <a:spAutoFit/>
                    </wps:bodyPr>
                  </wps:wsp>
                </a:graphicData>
              </a:graphic>
            </wp:anchor>
          </w:drawing>
        </mc:Choice>
        <mc:Fallback>
          <w:pict>
            <v:shapetype w14:anchorId="1FCE3E62" id="_x0000_t202" coordsize="21600,21600" o:spt="202" path="m,l,21600r21600,l21600,xe">
              <v:stroke joinstyle="miter"/>
              <v:path gradientshapeok="t" o:connecttype="rect"/>
            </v:shapetype>
            <v:shape id="文本框 1087"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" filled="f" stroked="f">
              <v:textbox style="mso-fit-shape-to-text:t" inset="0,0,0,0">
                <w:txbxContent>
                  <w:p w14:paraId="129E9D53" w14:textId="77777777" w:rsidR="000F3EC2" w:rsidRDefault="000F3EC2">
                    <w:pPr>
                      <w:pStyle w:val="ae"/>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EA44B" w14:textId="77777777" w:rsidR="000F3EC2" w:rsidRDefault="00000000">
    <w:pPr>
      <w:pStyle w:val="ae"/>
      <w:spacing w:before="120" w:after="120"/>
      <w:ind w:firstLine="360"/>
      <w:jc w:val="center"/>
    </w:pPr>
    <w:r>
      <w:rPr>
        <w:noProof/>
      </w:rPr>
      <mc:AlternateContent>
        <mc:Choice Requires="wps">
          <w:drawing>
            <wp:anchor distT="0" distB="0" distL="114300" distR="114300" simplePos="0" relativeHeight="251660288" behindDoc="0" locked="0" layoutInCell="1" allowOverlap="1" wp14:anchorId="06D06EC1" wp14:editId="0535A674">
              <wp:simplePos x="0" y="0"/>
              <wp:positionH relativeFrom="margin">
                <wp:posOffset>2540</wp:posOffset>
              </wp:positionH>
              <wp:positionV relativeFrom="paragraph">
                <wp:posOffset>-635</wp:posOffset>
              </wp:positionV>
              <wp:extent cx="129540" cy="283845"/>
              <wp:effectExtent l="0" t="0" r="4445" b="1905"/>
              <wp:wrapNone/>
              <wp:docPr id="157312664" name="文本框 10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96" cy="283845"/>
                      </a:xfrm>
                      <a:prstGeom prst="rect">
                        <a:avLst/>
                      </a:prstGeom>
                      <a:noFill/>
                      <a:ln>
                        <a:noFill/>
                      </a:ln>
                    </wps:spPr>
                    <wps:txbx>
                      <w:txbxContent>
                        <w:p w14:paraId="0A958198" w14:textId="77777777" w:rsidR="000F3EC2" w:rsidRDefault="00000000">
                          <w:pPr>
                            <w:pStyle w:val="ae"/>
                            <w:spacing w:before="120" w:after="120"/>
                            <w:jc w:val="center"/>
                          </w:pPr>
                          <w:r>
                            <w:fldChar w:fldCharType="begin"/>
                          </w:r>
                          <w:r>
                            <w:instrText>PAGE   \* MERGEFORMAT</w:instrText>
                          </w:r>
                          <w:r>
                            <w:fldChar w:fldCharType="separate"/>
                          </w:r>
                          <w:r>
                            <w:rPr>
                              <w:lang w:val="zh-CN"/>
                            </w:rPr>
                            <w:t>10</w:t>
                          </w:r>
                          <w:r>
                            <w:fldChar w:fldCharType="end"/>
                          </w:r>
                        </w:p>
                      </w:txbxContent>
                    </wps:txbx>
                    <wps:bodyPr rot="0" vert="horz" wrap="square" lIns="0" tIns="0" rIns="0" bIns="0" anchor="t" anchorCtr="0" upright="1">
                      <a:spAutoFit/>
                    </wps:bodyPr>
                  </wps:wsp>
                </a:graphicData>
              </a:graphic>
            </wp:anchor>
          </w:drawing>
        </mc:Choice>
        <mc:Fallback>
          <w:pict>
            <v:shapetype w14:anchorId="06D06EC1" id="_x0000_t202" coordsize="21600,21600" o:spt="202" path="m,l,21600r21600,l21600,xe">
              <v:stroke joinstyle="miter"/>
              <v:path gradientshapeok="t" o:connecttype="rect"/>
            </v:shapetype>
            <v:shape id="文本框 1085" o:spid="_x0000_s1028" type="#_x0000_t202" style="position:absolute;left:0;text-align:left;margin-left:.2pt;margin-top:-.05pt;width:10.2pt;height:22.3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" filled="f" stroked="f">
              <v:textbox style="mso-fit-shape-to-text:t" inset="0,0,0,0">
                <w:txbxContent>
                  <w:p w14:paraId="0A958198" w14:textId="77777777" w:rsidR="000F3EC2" w:rsidRDefault="00000000">
                    <w:pPr>
                      <w:pStyle w:val="ae"/>
                      <w:spacing w:before="120" w:after="120"/>
                      <w:jc w:val="center"/>
                    </w:pPr>
                    <w:r>
                      <w:fldChar w:fldCharType="begin"/>
                    </w:r>
                    <w:r>
                      <w:instrText>PAGE   \* MERGEFORMAT</w:instrText>
                    </w:r>
                    <w:r>
                      <w:fldChar w:fldCharType="separate"/>
                    </w:r>
                    <w:r>
                      <w:rPr>
                        <w:lang w:val="zh-CN"/>
                      </w:rPr>
                      <w:t>10</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1C796" w14:textId="77777777" w:rsidR="000F3EC2" w:rsidRDefault="00000000">
    <w:pPr>
      <w:pStyle w:val="ae"/>
      <w:spacing w:before="120" w:after="120"/>
      <w:jc w:val="center"/>
    </w:pPr>
    <w:r>
      <w:rPr>
        <w:noProof/>
      </w:rPr>
      <mc:AlternateContent>
        <mc:Choice Requires="wps">
          <w:drawing>
            <wp:anchor distT="0" distB="0" distL="114300" distR="114300" simplePos="0" relativeHeight="251659264" behindDoc="0" locked="0" layoutInCell="1" allowOverlap="1" wp14:anchorId="763F566D" wp14:editId="76E38CD4">
              <wp:simplePos x="0" y="0"/>
              <wp:positionH relativeFrom="margin">
                <wp:posOffset>5110480</wp:posOffset>
              </wp:positionH>
              <wp:positionV relativeFrom="paragraph">
                <wp:posOffset>0</wp:posOffset>
              </wp:positionV>
              <wp:extent cx="155575" cy="283845"/>
              <wp:effectExtent l="0" t="0" r="16510" b="1905"/>
              <wp:wrapNone/>
              <wp:docPr id="528698798" name="文本框 1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75" cy="283845"/>
                      </a:xfrm>
                      <a:prstGeom prst="rect">
                        <a:avLst/>
                      </a:prstGeom>
                      <a:noFill/>
                      <a:ln>
                        <a:noFill/>
                      </a:ln>
                      <a:effectLst/>
                    </wps:spPr>
                    <wps:txbx>
                      <w:txbxContent>
                        <w:p w14:paraId="5454066E" w14:textId="77777777" w:rsidR="000F3EC2" w:rsidRDefault="00000000">
                          <w:pPr>
                            <w:pStyle w:val="ae"/>
                            <w:spacing w:before="120" w:after="120"/>
                            <w:jc w:val="center"/>
                          </w:pPr>
                          <w:r>
                            <w:fldChar w:fldCharType="begin"/>
                          </w:r>
                          <w:r>
                            <w:instrText>PAGE   \* MERGEFORMAT</w:instrText>
                          </w:r>
                          <w:r>
                            <w:fldChar w:fldCharType="separate"/>
                          </w:r>
                          <w:r>
                            <w:rPr>
                              <w:lang w:val="zh-CN"/>
                            </w:rPr>
                            <w:t>3</w:t>
                          </w:r>
                          <w:r>
                            <w:fldChar w:fldCharType="end"/>
                          </w:r>
                        </w:p>
                      </w:txbxContent>
                    </wps:txbx>
                    <wps:bodyPr rot="0" vert="horz" wrap="square" lIns="0" tIns="0" rIns="0" bIns="0" anchor="t" anchorCtr="0" upright="1">
                      <a:spAutoFit/>
                    </wps:bodyPr>
                  </wps:wsp>
                </a:graphicData>
              </a:graphic>
            </wp:anchor>
          </w:drawing>
        </mc:Choice>
        <mc:Fallback>
          <w:pict>
            <v:shapetype w14:anchorId="763F566D" id="_x0000_t202" coordsize="21600,21600" o:spt="202" path="m,l,21600r21600,l21600,xe">
              <v:stroke joinstyle="miter"/>
              <v:path gradientshapeok="t" o:connecttype="rect"/>
            </v:shapetype>
            <v:shape id="文本框 1080" o:spid="_x0000_s1029" type="#_x0000_t202" style="position:absolute;left:0;text-align:left;margin-left:402.4pt;margin-top:0;width:12.25pt;height:22.3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" filled="f" stroked="f">
              <v:textbox style="mso-fit-shape-to-text:t" inset="0,0,0,0">
                <w:txbxContent>
                  <w:p w14:paraId="5454066E" w14:textId="77777777" w:rsidR="000F3EC2" w:rsidRDefault="00000000">
                    <w:pPr>
                      <w:pStyle w:val="ae"/>
                      <w:spacing w:before="120" w:after="120"/>
                      <w:jc w:val="center"/>
                    </w:pPr>
                    <w:r>
                      <w:fldChar w:fldCharType="begin"/>
                    </w:r>
                    <w:r>
                      <w:instrText>PAGE   \* MERGEFORMAT</w:instrText>
                    </w:r>
                    <w:r>
                      <w:fldChar w:fldCharType="separate"/>
                    </w:r>
                    <w:r>
                      <w:rPr>
                        <w:lang w:val="zh-CN"/>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6E0DD" w14:textId="77777777" w:rsidR="00984287" w:rsidRDefault="00984287">
      <w:r>
        <w:separator/>
      </w:r>
    </w:p>
  </w:footnote>
  <w:footnote w:type="continuationSeparator" w:id="0">
    <w:p w14:paraId="05DDB590" w14:textId="77777777" w:rsidR="00984287" w:rsidRDefault="00984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9288B" w14:textId="77777777" w:rsidR="000F3EC2" w:rsidRDefault="000F3EC2">
    <w:pPr>
      <w:pStyle w:val="aff"/>
      <w:ind w:left="6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BB48" w14:textId="77777777" w:rsidR="000F3EC2" w:rsidRDefault="000F3EC2">
    <w:pPr>
      <w:pStyle w:val="af0"/>
      <w:pBdr>
        <w:bottom w:val="none" w:sz="0" w:space="1" w:color="auto"/>
      </w:pBdr>
      <w:spacing w:before="120" w:after="120"/>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6E71" w14:textId="77777777" w:rsidR="000F3EC2" w:rsidRDefault="000F3EC2">
    <w:pPr>
      <w:pStyle w:val="af0"/>
      <w:pBdr>
        <w:bottom w:val="none" w:sz="0"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D414" w14:textId="77777777" w:rsidR="000F3EC2" w:rsidRDefault="000F3EC2">
    <w:pPr>
      <w:pStyle w:val="af0"/>
      <w:spacing w:before="120" w:after="120"/>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426"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44C50F90"/>
    <w:multiLevelType w:val="multilevel"/>
    <w:tmpl w:val="44C50F90"/>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pStyle w:val="a1"/>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 w15:restartNumberingAfterBreak="0">
    <w:nsid w:val="51A80EE6"/>
    <w:multiLevelType w:val="multilevel"/>
    <w:tmpl w:val="51A80EE6"/>
    <w:lvl w:ilvl="0">
      <w:start w:val="1"/>
      <w:numFmt w:val="chineseCounting"/>
      <w:pStyle w:val="1"/>
      <w:suff w:val="nothing"/>
      <w:lvlText w:val="%1、"/>
      <w:lvlJc w:val="left"/>
      <w:pPr>
        <w:ind w:left="0" w:firstLine="0"/>
      </w:pPr>
      <w:rPr>
        <w:rFonts w:hint="eastAsia"/>
      </w:rPr>
    </w:lvl>
    <w:lvl w:ilvl="1">
      <w:start w:val="1"/>
      <w:numFmt w:val="chineseCounting"/>
      <w:pStyle w:val="2"/>
      <w:suff w:val="nothing"/>
      <w:lvlText w:val="（%2）"/>
      <w:lvlJc w:val="left"/>
      <w:pPr>
        <w:ind w:left="0" w:firstLine="0"/>
      </w:pPr>
      <w:rPr>
        <w:rFonts w:hint="eastAsia"/>
        <w:b/>
        <w:bCs/>
      </w:rPr>
    </w:lvl>
    <w:lvl w:ilvl="2">
      <w:start w:val="1"/>
      <w:numFmt w:val="decimal"/>
      <w:pStyle w:val="3"/>
      <w:suff w:val="nothing"/>
      <w:lvlText w:val="%3．"/>
      <w:lvlJc w:val="left"/>
      <w:pPr>
        <w:ind w:left="0" w:firstLine="400"/>
      </w:pPr>
      <w:rPr>
        <w:rFonts w:hint="eastAsia"/>
      </w:rPr>
    </w:lvl>
    <w:lvl w:ilvl="3">
      <w:start w:val="1"/>
      <w:numFmt w:val="decimal"/>
      <w:pStyle w:val="4"/>
      <w:suff w:val="nothing"/>
      <w:lvlText w:val="（%4）"/>
      <w:lvlJc w:val="left"/>
      <w:pPr>
        <w:ind w:left="0" w:firstLine="402"/>
      </w:pPr>
      <w:rPr>
        <w:rFonts w:hint="eastAsia"/>
      </w:rPr>
    </w:lvl>
    <w:lvl w:ilvl="4">
      <w:start w:val="1"/>
      <w:numFmt w:val="decimalEnclosedCircleChinese"/>
      <w:pStyle w:val="5"/>
      <w:suff w:val="nothing"/>
      <w:lvlText w:val="%5"/>
      <w:lvlJc w:val="left"/>
      <w:pPr>
        <w:ind w:left="0" w:firstLine="402"/>
      </w:pPr>
      <w:rPr>
        <w:rFonts w:hint="eastAsia"/>
      </w:rPr>
    </w:lvl>
    <w:lvl w:ilvl="5">
      <w:start w:val="1"/>
      <w:numFmt w:val="decimal"/>
      <w:pStyle w:val="6"/>
      <w:suff w:val="nothing"/>
      <w:lvlText w:val="%6）"/>
      <w:lvlJc w:val="left"/>
      <w:pPr>
        <w:ind w:left="0" w:firstLine="402"/>
      </w:pPr>
      <w:rPr>
        <w:rFonts w:hint="eastAsia"/>
      </w:rPr>
    </w:lvl>
    <w:lvl w:ilvl="6">
      <w:start w:val="1"/>
      <w:numFmt w:val="lowerLetter"/>
      <w:pStyle w:val="7"/>
      <w:suff w:val="nothing"/>
      <w:lvlText w:val="%7．"/>
      <w:lvlJc w:val="left"/>
      <w:pPr>
        <w:ind w:left="0" w:firstLine="402"/>
      </w:pPr>
      <w:rPr>
        <w:rFonts w:hint="eastAsia"/>
      </w:rPr>
    </w:lvl>
    <w:lvl w:ilvl="7">
      <w:start w:val="1"/>
      <w:numFmt w:val="lowerLetter"/>
      <w:pStyle w:val="8"/>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abstractNum w:abstractNumId="3" w15:restartNumberingAfterBreak="0">
    <w:nsid w:val="60B55DC2"/>
    <w:multiLevelType w:val="multilevel"/>
    <w:tmpl w:val="60B55DC2"/>
    <w:lvl w:ilvl="0">
      <w:start w:val="1"/>
      <w:numFmt w:val="upperLetter"/>
      <w:lvlText w:val="%1"/>
      <w:lvlJc w:val="left"/>
      <w:pPr>
        <w:tabs>
          <w:tab w:val="left" w:pos="0"/>
        </w:tabs>
        <w:ind w:left="0" w:hanging="425"/>
      </w:pPr>
      <w:rPr>
        <w:rFonts w:hint="eastAsia"/>
      </w:rPr>
    </w:lvl>
    <w:lvl w:ilvl="1">
      <w:start w:val="1"/>
      <w:numFmt w:val="decimal"/>
      <w:pStyle w:val="a2"/>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4" w15:restartNumberingAfterBreak="0">
    <w:nsid w:val="646260FA"/>
    <w:multiLevelType w:val="multilevel"/>
    <w:tmpl w:val="646260FA"/>
    <w:lvl w:ilvl="0">
      <w:start w:val="1"/>
      <w:numFmt w:val="decimal"/>
      <w:pStyle w:val="a3"/>
      <w:suff w:val="nothing"/>
      <w:lvlText w:val="表%1　"/>
      <w:lvlJc w:val="left"/>
      <w:pPr>
        <w:ind w:left="1844"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5" w15:restartNumberingAfterBreak="0">
    <w:nsid w:val="657D3FBC"/>
    <w:multiLevelType w:val="multilevel"/>
    <w:tmpl w:val="657D3FBC"/>
    <w:lvl w:ilvl="0">
      <w:start w:val="1"/>
      <w:numFmt w:val="upperLetter"/>
      <w:pStyle w:val="a4"/>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 w15:restartNumberingAfterBreak="0">
    <w:nsid w:val="7FA53740"/>
    <w:multiLevelType w:val="multilevel"/>
    <w:tmpl w:val="7FA53740"/>
    <w:lvl w:ilvl="0">
      <w:start w:val="1"/>
      <w:numFmt w:val="chineseCountingThousand"/>
      <w:suff w:val="nothing"/>
      <w:lvlText w:val="%1、"/>
      <w:lvlJc w:val="left"/>
      <w:pPr>
        <w:ind w:left="4111" w:firstLine="0"/>
      </w:pPr>
      <w:rPr>
        <w:rFonts w:cs="Times New Roman"/>
        <w:b/>
        <w:bCs w:val="0"/>
        <w:i w:val="0"/>
        <w:iCs w:val="0"/>
        <w:caps w:val="0"/>
        <w:smallCaps w:val="0"/>
        <w:strike w:val="0"/>
        <w:dstrike w:val="0"/>
        <w:vanish w:val="0"/>
        <w:color w:val="000000"/>
        <w:spacing w:val="0"/>
        <w:position w:val="0"/>
        <w:u w:val="none"/>
        <w:vertAlign w:val="baseline"/>
        <w:lang w:val="en-US"/>
      </w:rPr>
    </w:lvl>
    <w:lvl w:ilvl="1">
      <w:start w:val="1"/>
      <w:numFmt w:val="chineseCountingThousand"/>
      <w:lvlText w:val="(%2)"/>
      <w:lvlJc w:val="left"/>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1635863686">
    <w:abstractNumId w:val="2"/>
  </w:num>
  <w:num w:numId="2" w16cid:durableId="710493966">
    <w:abstractNumId w:val="5"/>
  </w:num>
  <w:num w:numId="3" w16cid:durableId="1982346963">
    <w:abstractNumId w:val="4"/>
  </w:num>
  <w:num w:numId="4" w16cid:durableId="1455248081">
    <w:abstractNumId w:val="3"/>
  </w:num>
  <w:num w:numId="5" w16cid:durableId="987251002">
    <w:abstractNumId w:val="0"/>
  </w:num>
  <w:num w:numId="6" w16cid:durableId="709645818">
    <w:abstractNumId w:val="1"/>
  </w:num>
  <w:num w:numId="7" w16cid:durableId="10141091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0"/>
  <w:evenAndOddHeaders/>
  <w:drawingGridHorizontalSpacing w:val="158"/>
  <w:drawingGridVerticalSpacing w:val="585"/>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c5OWE5YWFkMTllZjg2NjNlMjExMzdmZjgxNjFmNmQifQ=="/>
  </w:docVars>
  <w:rsids>
    <w:rsidRoot w:val="00172A27"/>
    <w:rsid w:val="A7DF12D7"/>
    <w:rsid w:val="00001B9F"/>
    <w:rsid w:val="000037C8"/>
    <w:rsid w:val="00003F18"/>
    <w:rsid w:val="00010B59"/>
    <w:rsid w:val="00011D8B"/>
    <w:rsid w:val="00014380"/>
    <w:rsid w:val="000170FB"/>
    <w:rsid w:val="000218B6"/>
    <w:rsid w:val="000356A4"/>
    <w:rsid w:val="00042897"/>
    <w:rsid w:val="00043F9D"/>
    <w:rsid w:val="0004453A"/>
    <w:rsid w:val="000449AD"/>
    <w:rsid w:val="000557D7"/>
    <w:rsid w:val="0005690E"/>
    <w:rsid w:val="00061595"/>
    <w:rsid w:val="00071343"/>
    <w:rsid w:val="00083DCF"/>
    <w:rsid w:val="000900F6"/>
    <w:rsid w:val="0009086F"/>
    <w:rsid w:val="00091D3B"/>
    <w:rsid w:val="00097684"/>
    <w:rsid w:val="000A015A"/>
    <w:rsid w:val="000B163F"/>
    <w:rsid w:val="000B1A0B"/>
    <w:rsid w:val="000B5D1D"/>
    <w:rsid w:val="000C07CB"/>
    <w:rsid w:val="000C79AE"/>
    <w:rsid w:val="000D3405"/>
    <w:rsid w:val="000D6873"/>
    <w:rsid w:val="000E0B78"/>
    <w:rsid w:val="000E4AF0"/>
    <w:rsid w:val="000E7296"/>
    <w:rsid w:val="000F3EC2"/>
    <w:rsid w:val="00105709"/>
    <w:rsid w:val="001066B2"/>
    <w:rsid w:val="001253D0"/>
    <w:rsid w:val="00127980"/>
    <w:rsid w:val="00132A21"/>
    <w:rsid w:val="0013445C"/>
    <w:rsid w:val="00141EC2"/>
    <w:rsid w:val="00143A82"/>
    <w:rsid w:val="00145286"/>
    <w:rsid w:val="00164270"/>
    <w:rsid w:val="00165142"/>
    <w:rsid w:val="00172A27"/>
    <w:rsid w:val="0017479A"/>
    <w:rsid w:val="001766B1"/>
    <w:rsid w:val="0018407E"/>
    <w:rsid w:val="00185065"/>
    <w:rsid w:val="00185680"/>
    <w:rsid w:val="00187462"/>
    <w:rsid w:val="00194A15"/>
    <w:rsid w:val="001974BF"/>
    <w:rsid w:val="001A5676"/>
    <w:rsid w:val="001A7155"/>
    <w:rsid w:val="001B2BD3"/>
    <w:rsid w:val="001C6E82"/>
    <w:rsid w:val="001D64F8"/>
    <w:rsid w:val="001D6790"/>
    <w:rsid w:val="001E5792"/>
    <w:rsid w:val="001E7E7C"/>
    <w:rsid w:val="001E7E89"/>
    <w:rsid w:val="001F5620"/>
    <w:rsid w:val="0020758C"/>
    <w:rsid w:val="00225170"/>
    <w:rsid w:val="00226052"/>
    <w:rsid w:val="00226423"/>
    <w:rsid w:val="00226C9D"/>
    <w:rsid w:val="0023361B"/>
    <w:rsid w:val="0023573D"/>
    <w:rsid w:val="00242BC1"/>
    <w:rsid w:val="00245B0F"/>
    <w:rsid w:val="002558EB"/>
    <w:rsid w:val="002612A3"/>
    <w:rsid w:val="0027396E"/>
    <w:rsid w:val="00276FDA"/>
    <w:rsid w:val="00281FCD"/>
    <w:rsid w:val="00284D2A"/>
    <w:rsid w:val="002873AD"/>
    <w:rsid w:val="0029472A"/>
    <w:rsid w:val="002949E0"/>
    <w:rsid w:val="002B5FE7"/>
    <w:rsid w:val="002C185B"/>
    <w:rsid w:val="002C2DB7"/>
    <w:rsid w:val="002C3354"/>
    <w:rsid w:val="002C3666"/>
    <w:rsid w:val="002D2C4E"/>
    <w:rsid w:val="002D34B2"/>
    <w:rsid w:val="0032292C"/>
    <w:rsid w:val="003419AC"/>
    <w:rsid w:val="00347934"/>
    <w:rsid w:val="00352505"/>
    <w:rsid w:val="0035343C"/>
    <w:rsid w:val="00356A85"/>
    <w:rsid w:val="00362315"/>
    <w:rsid w:val="00364D36"/>
    <w:rsid w:val="0038040F"/>
    <w:rsid w:val="003859B7"/>
    <w:rsid w:val="00392124"/>
    <w:rsid w:val="0039404C"/>
    <w:rsid w:val="003A645E"/>
    <w:rsid w:val="003A7B67"/>
    <w:rsid w:val="003A7E6B"/>
    <w:rsid w:val="003B34B7"/>
    <w:rsid w:val="003B6E7E"/>
    <w:rsid w:val="003D5F9E"/>
    <w:rsid w:val="003E583D"/>
    <w:rsid w:val="003F574F"/>
    <w:rsid w:val="00404F2D"/>
    <w:rsid w:val="004075DF"/>
    <w:rsid w:val="00411A96"/>
    <w:rsid w:val="004311C6"/>
    <w:rsid w:val="0043413F"/>
    <w:rsid w:val="00440BBA"/>
    <w:rsid w:val="00450B80"/>
    <w:rsid w:val="00451047"/>
    <w:rsid w:val="0045259F"/>
    <w:rsid w:val="00464A64"/>
    <w:rsid w:val="00464BFA"/>
    <w:rsid w:val="00472F45"/>
    <w:rsid w:val="00475AEE"/>
    <w:rsid w:val="004768D9"/>
    <w:rsid w:val="0048352E"/>
    <w:rsid w:val="00496D5C"/>
    <w:rsid w:val="004A4F17"/>
    <w:rsid w:val="004A75C6"/>
    <w:rsid w:val="004B014B"/>
    <w:rsid w:val="004B0C42"/>
    <w:rsid w:val="004B44E3"/>
    <w:rsid w:val="004C4B2C"/>
    <w:rsid w:val="004C6BF5"/>
    <w:rsid w:val="004C7504"/>
    <w:rsid w:val="004D03FA"/>
    <w:rsid w:val="004D380C"/>
    <w:rsid w:val="004D791C"/>
    <w:rsid w:val="004E6737"/>
    <w:rsid w:val="004F0B65"/>
    <w:rsid w:val="004F5311"/>
    <w:rsid w:val="00504C16"/>
    <w:rsid w:val="00517BE7"/>
    <w:rsid w:val="00534D80"/>
    <w:rsid w:val="005353CA"/>
    <w:rsid w:val="00561EAF"/>
    <w:rsid w:val="00572BB7"/>
    <w:rsid w:val="00577FBA"/>
    <w:rsid w:val="00581882"/>
    <w:rsid w:val="0059114C"/>
    <w:rsid w:val="00595E71"/>
    <w:rsid w:val="005A02C6"/>
    <w:rsid w:val="005A3395"/>
    <w:rsid w:val="005A5E95"/>
    <w:rsid w:val="005A63CF"/>
    <w:rsid w:val="005B2390"/>
    <w:rsid w:val="005C2487"/>
    <w:rsid w:val="005D5A9C"/>
    <w:rsid w:val="005E2372"/>
    <w:rsid w:val="005E4CAB"/>
    <w:rsid w:val="006032F7"/>
    <w:rsid w:val="00603688"/>
    <w:rsid w:val="0061142E"/>
    <w:rsid w:val="006115A4"/>
    <w:rsid w:val="006123B6"/>
    <w:rsid w:val="00613C6A"/>
    <w:rsid w:val="00615A1C"/>
    <w:rsid w:val="006174DF"/>
    <w:rsid w:val="00621BF5"/>
    <w:rsid w:val="00632F0A"/>
    <w:rsid w:val="0063395E"/>
    <w:rsid w:val="00645883"/>
    <w:rsid w:val="006466F6"/>
    <w:rsid w:val="00653749"/>
    <w:rsid w:val="0065611C"/>
    <w:rsid w:val="00672B71"/>
    <w:rsid w:val="00674821"/>
    <w:rsid w:val="0067687A"/>
    <w:rsid w:val="00680E20"/>
    <w:rsid w:val="00681BCC"/>
    <w:rsid w:val="00683719"/>
    <w:rsid w:val="00684CBF"/>
    <w:rsid w:val="00691528"/>
    <w:rsid w:val="006A242B"/>
    <w:rsid w:val="006A3DBF"/>
    <w:rsid w:val="006A5058"/>
    <w:rsid w:val="006A6379"/>
    <w:rsid w:val="006A7D8D"/>
    <w:rsid w:val="006B3129"/>
    <w:rsid w:val="006B4048"/>
    <w:rsid w:val="006C023A"/>
    <w:rsid w:val="006C481A"/>
    <w:rsid w:val="006C7275"/>
    <w:rsid w:val="006D069B"/>
    <w:rsid w:val="006D54DB"/>
    <w:rsid w:val="006D6ACF"/>
    <w:rsid w:val="006E00BF"/>
    <w:rsid w:val="006E2D7D"/>
    <w:rsid w:val="006F13C0"/>
    <w:rsid w:val="006F43E4"/>
    <w:rsid w:val="0070576C"/>
    <w:rsid w:val="00715890"/>
    <w:rsid w:val="007235E9"/>
    <w:rsid w:val="007246D7"/>
    <w:rsid w:val="00725332"/>
    <w:rsid w:val="007334B8"/>
    <w:rsid w:val="0075659D"/>
    <w:rsid w:val="0076371E"/>
    <w:rsid w:val="00764BD5"/>
    <w:rsid w:val="0077259F"/>
    <w:rsid w:val="0077577F"/>
    <w:rsid w:val="00780C0E"/>
    <w:rsid w:val="00786593"/>
    <w:rsid w:val="007A757F"/>
    <w:rsid w:val="007B7049"/>
    <w:rsid w:val="007C4714"/>
    <w:rsid w:val="007C5556"/>
    <w:rsid w:val="007C6AF9"/>
    <w:rsid w:val="007D216A"/>
    <w:rsid w:val="007D62B6"/>
    <w:rsid w:val="007E72FE"/>
    <w:rsid w:val="00803E0B"/>
    <w:rsid w:val="00807B2E"/>
    <w:rsid w:val="00807F27"/>
    <w:rsid w:val="00810311"/>
    <w:rsid w:val="00814B57"/>
    <w:rsid w:val="00827BC2"/>
    <w:rsid w:val="0083211F"/>
    <w:rsid w:val="008349B8"/>
    <w:rsid w:val="008548D8"/>
    <w:rsid w:val="008557CA"/>
    <w:rsid w:val="00865C72"/>
    <w:rsid w:val="00876AE5"/>
    <w:rsid w:val="008773E1"/>
    <w:rsid w:val="00890D85"/>
    <w:rsid w:val="00893D6A"/>
    <w:rsid w:val="00894171"/>
    <w:rsid w:val="008A4489"/>
    <w:rsid w:val="008A6F4E"/>
    <w:rsid w:val="008A7906"/>
    <w:rsid w:val="008B3A89"/>
    <w:rsid w:val="008C0A0B"/>
    <w:rsid w:val="008C2DBB"/>
    <w:rsid w:val="008D01D6"/>
    <w:rsid w:val="008D31DA"/>
    <w:rsid w:val="008D37D6"/>
    <w:rsid w:val="008D4590"/>
    <w:rsid w:val="008D4EA6"/>
    <w:rsid w:val="008E3127"/>
    <w:rsid w:val="0090634D"/>
    <w:rsid w:val="00930787"/>
    <w:rsid w:val="009314E7"/>
    <w:rsid w:val="009357AA"/>
    <w:rsid w:val="00943CD8"/>
    <w:rsid w:val="009511E8"/>
    <w:rsid w:val="0095166B"/>
    <w:rsid w:val="009517BD"/>
    <w:rsid w:val="00952699"/>
    <w:rsid w:val="009531A6"/>
    <w:rsid w:val="00953322"/>
    <w:rsid w:val="00954EE8"/>
    <w:rsid w:val="009661DD"/>
    <w:rsid w:val="00966D42"/>
    <w:rsid w:val="00970327"/>
    <w:rsid w:val="009760D1"/>
    <w:rsid w:val="00981CF9"/>
    <w:rsid w:val="00984287"/>
    <w:rsid w:val="00984E8E"/>
    <w:rsid w:val="00985CC1"/>
    <w:rsid w:val="00986B87"/>
    <w:rsid w:val="00990D02"/>
    <w:rsid w:val="009A10A5"/>
    <w:rsid w:val="009A57D7"/>
    <w:rsid w:val="009B0AB5"/>
    <w:rsid w:val="009D29CC"/>
    <w:rsid w:val="009D2C13"/>
    <w:rsid w:val="009D6811"/>
    <w:rsid w:val="009E3758"/>
    <w:rsid w:val="009E3BDA"/>
    <w:rsid w:val="009F33C6"/>
    <w:rsid w:val="009F61C5"/>
    <w:rsid w:val="00A0094B"/>
    <w:rsid w:val="00A02D66"/>
    <w:rsid w:val="00A034F0"/>
    <w:rsid w:val="00A24667"/>
    <w:rsid w:val="00A30AD6"/>
    <w:rsid w:val="00A3288C"/>
    <w:rsid w:val="00A33A90"/>
    <w:rsid w:val="00A53305"/>
    <w:rsid w:val="00A64109"/>
    <w:rsid w:val="00A71201"/>
    <w:rsid w:val="00A7236F"/>
    <w:rsid w:val="00A74B82"/>
    <w:rsid w:val="00A7702E"/>
    <w:rsid w:val="00A77F82"/>
    <w:rsid w:val="00A84A03"/>
    <w:rsid w:val="00A95FF4"/>
    <w:rsid w:val="00A9727C"/>
    <w:rsid w:val="00AA64F3"/>
    <w:rsid w:val="00AB636C"/>
    <w:rsid w:val="00AC1B6D"/>
    <w:rsid w:val="00AF4B23"/>
    <w:rsid w:val="00AF7B8C"/>
    <w:rsid w:val="00B10588"/>
    <w:rsid w:val="00B109AA"/>
    <w:rsid w:val="00B12E1B"/>
    <w:rsid w:val="00B16B85"/>
    <w:rsid w:val="00B17FF7"/>
    <w:rsid w:val="00B2380D"/>
    <w:rsid w:val="00B25C61"/>
    <w:rsid w:val="00B2677F"/>
    <w:rsid w:val="00B2705E"/>
    <w:rsid w:val="00B55591"/>
    <w:rsid w:val="00B62AC6"/>
    <w:rsid w:val="00B64CCD"/>
    <w:rsid w:val="00B90997"/>
    <w:rsid w:val="00B94CD4"/>
    <w:rsid w:val="00BA1493"/>
    <w:rsid w:val="00BB1A20"/>
    <w:rsid w:val="00BB1CA6"/>
    <w:rsid w:val="00BB49A7"/>
    <w:rsid w:val="00BC26DC"/>
    <w:rsid w:val="00BD33F0"/>
    <w:rsid w:val="00C1285A"/>
    <w:rsid w:val="00C16DE5"/>
    <w:rsid w:val="00C20059"/>
    <w:rsid w:val="00C221EB"/>
    <w:rsid w:val="00C24D48"/>
    <w:rsid w:val="00C26CA8"/>
    <w:rsid w:val="00C45D53"/>
    <w:rsid w:val="00C601F8"/>
    <w:rsid w:val="00C60FC9"/>
    <w:rsid w:val="00C80604"/>
    <w:rsid w:val="00C81AC3"/>
    <w:rsid w:val="00C9102F"/>
    <w:rsid w:val="00C978DE"/>
    <w:rsid w:val="00CA2CA2"/>
    <w:rsid w:val="00CB0D51"/>
    <w:rsid w:val="00CC23D7"/>
    <w:rsid w:val="00CC3C46"/>
    <w:rsid w:val="00CD08BE"/>
    <w:rsid w:val="00CD3306"/>
    <w:rsid w:val="00CE3EA1"/>
    <w:rsid w:val="00CF052E"/>
    <w:rsid w:val="00CF2723"/>
    <w:rsid w:val="00CF7943"/>
    <w:rsid w:val="00D116FC"/>
    <w:rsid w:val="00D12606"/>
    <w:rsid w:val="00D12A68"/>
    <w:rsid w:val="00D1372A"/>
    <w:rsid w:val="00D23D47"/>
    <w:rsid w:val="00D33FDC"/>
    <w:rsid w:val="00D34195"/>
    <w:rsid w:val="00D36D1A"/>
    <w:rsid w:val="00D4197F"/>
    <w:rsid w:val="00D43401"/>
    <w:rsid w:val="00D44520"/>
    <w:rsid w:val="00D44B46"/>
    <w:rsid w:val="00D64504"/>
    <w:rsid w:val="00D64CA4"/>
    <w:rsid w:val="00D64E6F"/>
    <w:rsid w:val="00D677F6"/>
    <w:rsid w:val="00D71A68"/>
    <w:rsid w:val="00D77697"/>
    <w:rsid w:val="00D90650"/>
    <w:rsid w:val="00D91189"/>
    <w:rsid w:val="00D92F9D"/>
    <w:rsid w:val="00D93D66"/>
    <w:rsid w:val="00D94F7A"/>
    <w:rsid w:val="00DB6EA3"/>
    <w:rsid w:val="00DC0218"/>
    <w:rsid w:val="00DC66C4"/>
    <w:rsid w:val="00DD1FAA"/>
    <w:rsid w:val="00DD2DBB"/>
    <w:rsid w:val="00DF1010"/>
    <w:rsid w:val="00DF2636"/>
    <w:rsid w:val="00E02B79"/>
    <w:rsid w:val="00E11E36"/>
    <w:rsid w:val="00E16F58"/>
    <w:rsid w:val="00E414E8"/>
    <w:rsid w:val="00E41A3F"/>
    <w:rsid w:val="00E46625"/>
    <w:rsid w:val="00E50961"/>
    <w:rsid w:val="00E74ED0"/>
    <w:rsid w:val="00E76734"/>
    <w:rsid w:val="00E83D19"/>
    <w:rsid w:val="00E84B55"/>
    <w:rsid w:val="00E967B6"/>
    <w:rsid w:val="00EA0263"/>
    <w:rsid w:val="00EB0695"/>
    <w:rsid w:val="00EB4652"/>
    <w:rsid w:val="00EB7ECB"/>
    <w:rsid w:val="00ED21F2"/>
    <w:rsid w:val="00ED2643"/>
    <w:rsid w:val="00ED7E18"/>
    <w:rsid w:val="00EE18F8"/>
    <w:rsid w:val="00EF0B03"/>
    <w:rsid w:val="00F04FAD"/>
    <w:rsid w:val="00F14FCC"/>
    <w:rsid w:val="00F16A62"/>
    <w:rsid w:val="00F23958"/>
    <w:rsid w:val="00F25C43"/>
    <w:rsid w:val="00F26CA8"/>
    <w:rsid w:val="00F3462B"/>
    <w:rsid w:val="00F362B8"/>
    <w:rsid w:val="00F51AFC"/>
    <w:rsid w:val="00F53AB2"/>
    <w:rsid w:val="00F5415B"/>
    <w:rsid w:val="00F57A8A"/>
    <w:rsid w:val="00F6067D"/>
    <w:rsid w:val="00F82E31"/>
    <w:rsid w:val="00F84CC2"/>
    <w:rsid w:val="00F922F9"/>
    <w:rsid w:val="00F9482E"/>
    <w:rsid w:val="00FA388D"/>
    <w:rsid w:val="00FA4703"/>
    <w:rsid w:val="00FB416C"/>
    <w:rsid w:val="00FC2016"/>
    <w:rsid w:val="00FC2801"/>
    <w:rsid w:val="00FE2D9B"/>
    <w:rsid w:val="00FE32D0"/>
    <w:rsid w:val="00FE5B09"/>
    <w:rsid w:val="00FF73B0"/>
    <w:rsid w:val="00FF78BE"/>
    <w:rsid w:val="02AF493E"/>
    <w:rsid w:val="04363AE8"/>
    <w:rsid w:val="08C00220"/>
    <w:rsid w:val="0C733771"/>
    <w:rsid w:val="0C7D6818"/>
    <w:rsid w:val="0C923DAD"/>
    <w:rsid w:val="0CC7379C"/>
    <w:rsid w:val="0D5D0CEA"/>
    <w:rsid w:val="11B221A7"/>
    <w:rsid w:val="11BA34C8"/>
    <w:rsid w:val="12AB43E5"/>
    <w:rsid w:val="14694140"/>
    <w:rsid w:val="153F25A2"/>
    <w:rsid w:val="15A873FC"/>
    <w:rsid w:val="168C3ADE"/>
    <w:rsid w:val="17807B4D"/>
    <w:rsid w:val="181E14D7"/>
    <w:rsid w:val="184B14B9"/>
    <w:rsid w:val="184E40DF"/>
    <w:rsid w:val="19107042"/>
    <w:rsid w:val="198A073E"/>
    <w:rsid w:val="1B1F6C05"/>
    <w:rsid w:val="1E43381B"/>
    <w:rsid w:val="1E4B053E"/>
    <w:rsid w:val="245D3185"/>
    <w:rsid w:val="24EA1215"/>
    <w:rsid w:val="25754369"/>
    <w:rsid w:val="25A30662"/>
    <w:rsid w:val="267608FD"/>
    <w:rsid w:val="26A63C5B"/>
    <w:rsid w:val="281C077C"/>
    <w:rsid w:val="286A175E"/>
    <w:rsid w:val="28744159"/>
    <w:rsid w:val="288E6404"/>
    <w:rsid w:val="2A146CB8"/>
    <w:rsid w:val="2A906D9E"/>
    <w:rsid w:val="2C06674D"/>
    <w:rsid w:val="2E9436D8"/>
    <w:rsid w:val="2E9A55ED"/>
    <w:rsid w:val="2EE163D3"/>
    <w:rsid w:val="2F7E22CA"/>
    <w:rsid w:val="2FFD7B4F"/>
    <w:rsid w:val="3049070C"/>
    <w:rsid w:val="309466FB"/>
    <w:rsid w:val="32511241"/>
    <w:rsid w:val="32CA668D"/>
    <w:rsid w:val="35716917"/>
    <w:rsid w:val="36CB20C5"/>
    <w:rsid w:val="382E6200"/>
    <w:rsid w:val="3870246B"/>
    <w:rsid w:val="388C7258"/>
    <w:rsid w:val="38BC53BD"/>
    <w:rsid w:val="3BB635EE"/>
    <w:rsid w:val="3FDA1889"/>
    <w:rsid w:val="3FFA68BE"/>
    <w:rsid w:val="406048E3"/>
    <w:rsid w:val="40FA5D5F"/>
    <w:rsid w:val="410F18A2"/>
    <w:rsid w:val="41B10E2E"/>
    <w:rsid w:val="41EC178B"/>
    <w:rsid w:val="424D6604"/>
    <w:rsid w:val="428A0411"/>
    <w:rsid w:val="42C877A1"/>
    <w:rsid w:val="453403B4"/>
    <w:rsid w:val="461763A0"/>
    <w:rsid w:val="478F2314"/>
    <w:rsid w:val="486E6474"/>
    <w:rsid w:val="4AA63D92"/>
    <w:rsid w:val="4ABE60FB"/>
    <w:rsid w:val="4CC92DDF"/>
    <w:rsid w:val="4D53728C"/>
    <w:rsid w:val="4DF41C6A"/>
    <w:rsid w:val="51FD1B93"/>
    <w:rsid w:val="531A52BB"/>
    <w:rsid w:val="54FF3DA0"/>
    <w:rsid w:val="550D1203"/>
    <w:rsid w:val="55855314"/>
    <w:rsid w:val="55AE17CE"/>
    <w:rsid w:val="55FD6F6C"/>
    <w:rsid w:val="56782C63"/>
    <w:rsid w:val="56E00E7F"/>
    <w:rsid w:val="57411FD8"/>
    <w:rsid w:val="582E27DF"/>
    <w:rsid w:val="58C245CC"/>
    <w:rsid w:val="5B965EE1"/>
    <w:rsid w:val="5D0C5867"/>
    <w:rsid w:val="5D860F96"/>
    <w:rsid w:val="603267E1"/>
    <w:rsid w:val="64802A79"/>
    <w:rsid w:val="648306D0"/>
    <w:rsid w:val="65604E33"/>
    <w:rsid w:val="66B34455"/>
    <w:rsid w:val="66CE1EAD"/>
    <w:rsid w:val="69500042"/>
    <w:rsid w:val="69A9668F"/>
    <w:rsid w:val="69F60140"/>
    <w:rsid w:val="6A5C594B"/>
    <w:rsid w:val="6BA904AF"/>
    <w:rsid w:val="6E284AFC"/>
    <w:rsid w:val="6F327444"/>
    <w:rsid w:val="70177388"/>
    <w:rsid w:val="71EF7DB8"/>
    <w:rsid w:val="71F26047"/>
    <w:rsid w:val="72F24666"/>
    <w:rsid w:val="736D453C"/>
    <w:rsid w:val="73C116F2"/>
    <w:rsid w:val="75CC6EF9"/>
    <w:rsid w:val="75DA2C87"/>
    <w:rsid w:val="761C3EA4"/>
    <w:rsid w:val="769409F0"/>
    <w:rsid w:val="771828FF"/>
    <w:rsid w:val="79D042F9"/>
    <w:rsid w:val="7AFC08D6"/>
    <w:rsid w:val="7B7A1F17"/>
    <w:rsid w:val="7D660625"/>
    <w:rsid w:val="7D883C86"/>
    <w:rsid w:val="7E0946C8"/>
    <w:rsid w:val="7EB41559"/>
    <w:rsid w:val="7FA3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B2B1175"/>
  <w15:docId w15:val="{C20FAE48-7F80-45B6-9D2C-3E306252F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unhideWhenUsed="1" w:qFormat="1"/>
    <w:lsdException w:name="toc 2" w:uiPriority="39" w:qFormat="1"/>
    <w:lsdException w:name="toc 3" w:uiPriority="39" w:unhideWhenUsed="1" w:qFormat="1"/>
    <w:lsdException w:name="annotation text" w:uiPriority="99"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next w:val="a6"/>
    <w:qFormat/>
    <w:pPr>
      <w:widowControl w:val="0"/>
      <w:jc w:val="both"/>
    </w:pPr>
    <w:rPr>
      <w:kern w:val="2"/>
      <w:sz w:val="32"/>
      <w:szCs w:val="32"/>
    </w:rPr>
  </w:style>
  <w:style w:type="paragraph" w:styleId="1">
    <w:name w:val="heading 1"/>
    <w:basedOn w:val="a5"/>
    <w:next w:val="a5"/>
    <w:qFormat/>
    <w:pPr>
      <w:keepNext/>
      <w:keepLines/>
      <w:numPr>
        <w:numId w:val="1"/>
      </w:numPr>
      <w:spacing w:before="340" w:after="330" w:line="578" w:lineRule="auto"/>
      <w:outlineLvl w:val="0"/>
    </w:pPr>
    <w:rPr>
      <w:b/>
      <w:bCs/>
      <w:kern w:val="44"/>
      <w:sz w:val="44"/>
      <w:szCs w:val="44"/>
    </w:rPr>
  </w:style>
  <w:style w:type="paragraph" w:styleId="2">
    <w:name w:val="heading 2"/>
    <w:basedOn w:val="a5"/>
    <w:next w:val="a5"/>
    <w:qFormat/>
    <w:pPr>
      <w:keepNext/>
      <w:keepLines/>
      <w:numPr>
        <w:ilvl w:val="1"/>
        <w:numId w:val="1"/>
      </w:numPr>
      <w:spacing w:before="260" w:after="260" w:line="413" w:lineRule="auto"/>
      <w:outlineLvl w:val="1"/>
    </w:pPr>
    <w:rPr>
      <w:rFonts w:ascii="Arial" w:eastAsia="黑体" w:hAnsi="Arial"/>
      <w:b/>
    </w:rPr>
  </w:style>
  <w:style w:type="paragraph" w:styleId="3">
    <w:name w:val="heading 3"/>
    <w:basedOn w:val="a5"/>
    <w:next w:val="a5"/>
    <w:qFormat/>
    <w:pPr>
      <w:keepNext/>
      <w:keepLines/>
      <w:numPr>
        <w:ilvl w:val="2"/>
        <w:numId w:val="1"/>
      </w:numPr>
      <w:spacing w:before="260" w:after="260" w:line="413" w:lineRule="auto"/>
      <w:outlineLvl w:val="2"/>
    </w:pPr>
    <w:rPr>
      <w:b/>
    </w:rPr>
  </w:style>
  <w:style w:type="paragraph" w:styleId="4">
    <w:name w:val="heading 4"/>
    <w:basedOn w:val="a5"/>
    <w:next w:val="a5"/>
    <w:qFormat/>
    <w:pPr>
      <w:keepNext/>
      <w:keepLines/>
      <w:numPr>
        <w:ilvl w:val="3"/>
        <w:numId w:val="1"/>
      </w:numPr>
      <w:spacing w:before="280" w:after="290" w:line="372" w:lineRule="auto"/>
      <w:outlineLvl w:val="3"/>
    </w:pPr>
    <w:rPr>
      <w:rFonts w:ascii="Arial" w:eastAsia="黑体" w:hAnsi="Arial"/>
      <w:b/>
      <w:sz w:val="28"/>
    </w:rPr>
  </w:style>
  <w:style w:type="paragraph" w:styleId="5">
    <w:name w:val="heading 5"/>
    <w:basedOn w:val="a5"/>
    <w:next w:val="a5"/>
    <w:qFormat/>
    <w:pPr>
      <w:keepNext/>
      <w:keepLines/>
      <w:numPr>
        <w:ilvl w:val="4"/>
        <w:numId w:val="1"/>
      </w:numPr>
      <w:spacing w:before="280" w:after="290" w:line="372" w:lineRule="auto"/>
      <w:outlineLvl w:val="4"/>
    </w:pPr>
    <w:rPr>
      <w:b/>
      <w:sz w:val="28"/>
    </w:rPr>
  </w:style>
  <w:style w:type="paragraph" w:styleId="6">
    <w:name w:val="heading 6"/>
    <w:basedOn w:val="a5"/>
    <w:next w:val="a5"/>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5"/>
    <w:next w:val="a5"/>
    <w:qFormat/>
    <w:pPr>
      <w:keepNext/>
      <w:keepLines/>
      <w:numPr>
        <w:ilvl w:val="6"/>
        <w:numId w:val="1"/>
      </w:numPr>
      <w:spacing w:before="240" w:after="64" w:line="317" w:lineRule="auto"/>
      <w:outlineLvl w:val="6"/>
    </w:pPr>
    <w:rPr>
      <w:b/>
      <w:sz w:val="24"/>
    </w:rPr>
  </w:style>
  <w:style w:type="paragraph" w:styleId="8">
    <w:name w:val="heading 8"/>
    <w:basedOn w:val="a5"/>
    <w:next w:val="a5"/>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5"/>
    <w:next w:val="a5"/>
    <w:qFormat/>
    <w:pPr>
      <w:keepNext/>
      <w:keepLines/>
      <w:numPr>
        <w:ilvl w:val="8"/>
        <w:numId w:val="1"/>
      </w:numPr>
      <w:spacing w:before="240" w:after="64" w:line="317" w:lineRule="auto"/>
      <w:outlineLvl w:val="8"/>
    </w:pPr>
    <w:rPr>
      <w:rFonts w:ascii="Arial" w:eastAsia="黑体" w:hAnsi="Arial"/>
      <w:sz w:val="2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6">
    <w:name w:val="Body Text"/>
    <w:basedOn w:val="a5"/>
    <w:qFormat/>
    <w:pPr>
      <w:autoSpaceDE w:val="0"/>
      <w:autoSpaceDN w:val="0"/>
      <w:jc w:val="left"/>
    </w:pPr>
    <w:rPr>
      <w:rFonts w:ascii="宋体" w:hAnsi="宋体" w:cs="宋体"/>
      <w:kern w:val="0"/>
      <w:szCs w:val="21"/>
      <w:lang w:val="zh-CN" w:bidi="zh-CN"/>
    </w:rPr>
  </w:style>
  <w:style w:type="paragraph" w:styleId="aa">
    <w:name w:val="annotation text"/>
    <w:basedOn w:val="a5"/>
    <w:link w:val="ab"/>
    <w:uiPriority w:val="99"/>
    <w:qFormat/>
    <w:pPr>
      <w:jc w:val="left"/>
    </w:pPr>
  </w:style>
  <w:style w:type="paragraph" w:styleId="TOC3">
    <w:name w:val="toc 3"/>
    <w:basedOn w:val="a5"/>
    <w:next w:val="a5"/>
    <w:uiPriority w:val="39"/>
    <w:unhideWhenUsed/>
    <w:qFormat/>
    <w:pPr>
      <w:widowControl/>
      <w:spacing w:after="100" w:line="276" w:lineRule="auto"/>
      <w:ind w:left="440"/>
      <w:jc w:val="left"/>
    </w:pPr>
    <w:rPr>
      <w:kern w:val="0"/>
      <w:sz w:val="22"/>
      <w:szCs w:val="22"/>
    </w:rPr>
  </w:style>
  <w:style w:type="paragraph" w:styleId="ac">
    <w:name w:val="Balloon Text"/>
    <w:basedOn w:val="a5"/>
    <w:link w:val="ad"/>
    <w:uiPriority w:val="99"/>
    <w:qFormat/>
    <w:rPr>
      <w:sz w:val="18"/>
      <w:szCs w:val="18"/>
    </w:rPr>
  </w:style>
  <w:style w:type="paragraph" w:styleId="ae">
    <w:name w:val="footer"/>
    <w:basedOn w:val="a5"/>
    <w:link w:val="af"/>
    <w:uiPriority w:val="99"/>
    <w:qFormat/>
    <w:pPr>
      <w:tabs>
        <w:tab w:val="center" w:pos="4153"/>
        <w:tab w:val="right" w:pos="8306"/>
      </w:tabs>
      <w:snapToGrid w:val="0"/>
      <w:jc w:val="left"/>
    </w:pPr>
    <w:rPr>
      <w:sz w:val="18"/>
      <w:szCs w:val="18"/>
    </w:rPr>
  </w:style>
  <w:style w:type="paragraph" w:styleId="af0">
    <w:name w:val="header"/>
    <w:basedOn w:val="a5"/>
    <w:qFormat/>
    <w:pPr>
      <w:pBdr>
        <w:bottom w:val="single" w:sz="6" w:space="1" w:color="auto"/>
      </w:pBdr>
      <w:tabs>
        <w:tab w:val="center" w:pos="4153"/>
        <w:tab w:val="right" w:pos="8306"/>
      </w:tabs>
      <w:snapToGrid w:val="0"/>
      <w:jc w:val="center"/>
    </w:pPr>
    <w:rPr>
      <w:sz w:val="18"/>
      <w:szCs w:val="18"/>
    </w:rPr>
  </w:style>
  <w:style w:type="paragraph" w:styleId="TOC1">
    <w:name w:val="toc 1"/>
    <w:basedOn w:val="a5"/>
    <w:next w:val="a5"/>
    <w:uiPriority w:val="39"/>
    <w:unhideWhenUsed/>
    <w:qFormat/>
    <w:pPr>
      <w:widowControl/>
      <w:spacing w:after="100" w:line="276" w:lineRule="auto"/>
      <w:jc w:val="left"/>
    </w:pPr>
    <w:rPr>
      <w:kern w:val="0"/>
      <w:sz w:val="22"/>
      <w:szCs w:val="22"/>
    </w:rPr>
  </w:style>
  <w:style w:type="paragraph" w:styleId="TOC2">
    <w:name w:val="toc 2"/>
    <w:basedOn w:val="a5"/>
    <w:next w:val="a5"/>
    <w:uiPriority w:val="39"/>
    <w:qFormat/>
    <w:pPr>
      <w:tabs>
        <w:tab w:val="right" w:leader="dot" w:pos="9241"/>
      </w:tabs>
    </w:pPr>
    <w:rPr>
      <w:rFonts w:ascii="宋体"/>
      <w:szCs w:val="21"/>
    </w:rPr>
  </w:style>
  <w:style w:type="paragraph" w:styleId="af1">
    <w:name w:val="Normal (Web)"/>
    <w:basedOn w:val="a5"/>
    <w:qFormat/>
    <w:rPr>
      <w:sz w:val="24"/>
    </w:rPr>
  </w:style>
  <w:style w:type="paragraph" w:styleId="10">
    <w:name w:val="index 1"/>
    <w:basedOn w:val="a5"/>
    <w:next w:val="af2"/>
    <w:qFormat/>
    <w:pPr>
      <w:tabs>
        <w:tab w:val="right" w:leader="dot" w:pos="9299"/>
      </w:tabs>
      <w:jc w:val="left"/>
    </w:pPr>
    <w:rPr>
      <w:rFonts w:ascii="宋体"/>
      <w:sz w:val="21"/>
      <w:szCs w:val="21"/>
    </w:rPr>
  </w:style>
  <w:style w:type="paragraph" w:customStyle="1" w:styleId="af2">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3">
    <w:name w:val="annotation subject"/>
    <w:basedOn w:val="aa"/>
    <w:next w:val="aa"/>
    <w:link w:val="af4"/>
    <w:qFormat/>
    <w:rPr>
      <w:b/>
      <w:bCs/>
    </w:rPr>
  </w:style>
  <w:style w:type="table" w:styleId="af5">
    <w:name w:val="Table Grid"/>
    <w:basedOn w:val="a8"/>
    <w:uiPriority w:val="3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page number"/>
    <w:qFormat/>
  </w:style>
  <w:style w:type="character" w:styleId="af7">
    <w:name w:val="Emphasis"/>
    <w:basedOn w:val="a7"/>
    <w:qFormat/>
    <w:rPr>
      <w:i/>
    </w:rPr>
  </w:style>
  <w:style w:type="character" w:styleId="af8">
    <w:name w:val="Hyperlink"/>
    <w:uiPriority w:val="99"/>
    <w:qFormat/>
    <w:rPr>
      <w:color w:val="0000FF"/>
      <w:spacing w:val="0"/>
      <w:w w:val="100"/>
      <w:szCs w:val="21"/>
      <w:u w:val="single"/>
    </w:rPr>
  </w:style>
  <w:style w:type="character" w:styleId="af9">
    <w:name w:val="annotation reference"/>
    <w:qFormat/>
    <w:rPr>
      <w:sz w:val="21"/>
      <w:szCs w:val="21"/>
    </w:rPr>
  </w:style>
  <w:style w:type="character" w:customStyle="1" w:styleId="ab">
    <w:name w:val="批注文字 字符"/>
    <w:link w:val="aa"/>
    <w:uiPriority w:val="99"/>
    <w:qFormat/>
    <w:rPr>
      <w:kern w:val="2"/>
      <w:sz w:val="32"/>
      <w:szCs w:val="32"/>
    </w:rPr>
  </w:style>
  <w:style w:type="character" w:customStyle="1" w:styleId="ad">
    <w:name w:val="批注框文本 字符"/>
    <w:link w:val="ac"/>
    <w:uiPriority w:val="99"/>
    <w:qFormat/>
    <w:rPr>
      <w:kern w:val="2"/>
      <w:sz w:val="18"/>
      <w:szCs w:val="18"/>
    </w:rPr>
  </w:style>
  <w:style w:type="character" w:customStyle="1" w:styleId="af">
    <w:name w:val="页脚 字符"/>
    <w:link w:val="ae"/>
    <w:uiPriority w:val="99"/>
    <w:qFormat/>
    <w:rPr>
      <w:kern w:val="2"/>
      <w:sz w:val="18"/>
      <w:szCs w:val="18"/>
    </w:rPr>
  </w:style>
  <w:style w:type="character" w:customStyle="1" w:styleId="af4">
    <w:name w:val="批注主题 字符"/>
    <w:link w:val="af3"/>
    <w:qFormat/>
    <w:rPr>
      <w:b/>
      <w:bCs/>
      <w:kern w:val="2"/>
      <w:sz w:val="32"/>
      <w:szCs w:val="32"/>
    </w:rPr>
  </w:style>
  <w:style w:type="paragraph" w:customStyle="1" w:styleId="afa">
    <w:name w:val="名称"/>
    <w:basedOn w:val="afb"/>
    <w:next w:val="af2"/>
    <w:qFormat/>
    <w:pPr>
      <w:spacing w:line="460" w:lineRule="exact"/>
      <w:outlineLvl w:val="9"/>
    </w:pPr>
  </w:style>
  <w:style w:type="paragraph" w:customStyle="1" w:styleId="afb">
    <w:name w:val="前言、引言标题"/>
    <w:next w:val="a5"/>
    <w:qFormat/>
    <w:pPr>
      <w:keepNext/>
      <w:pageBreakBefore/>
      <w:shd w:val="clear" w:color="FFFFFF" w:fill="FFFFFF"/>
      <w:spacing w:before="640" w:after="560"/>
      <w:jc w:val="center"/>
      <w:outlineLvl w:val="0"/>
    </w:pPr>
    <w:rPr>
      <w:rFonts w:ascii="黑体" w:eastAsia="黑体"/>
      <w:sz w:val="32"/>
    </w:rPr>
  </w:style>
  <w:style w:type="paragraph" w:customStyle="1" w:styleId="afc">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d">
    <w:name w:val="公式编号制表符"/>
    <w:basedOn w:val="a5"/>
    <w:next w:val="a5"/>
    <w:qFormat/>
    <w:pPr>
      <w:widowControl/>
      <w:tabs>
        <w:tab w:val="center" w:pos="4679"/>
        <w:tab w:val="right" w:leader="dot" w:pos="9299"/>
      </w:tabs>
      <w:autoSpaceDE w:val="0"/>
      <w:autoSpaceDN w:val="0"/>
      <w:textAlignment w:val="center"/>
    </w:pPr>
    <w:rPr>
      <w:rFonts w:ascii="宋体"/>
      <w:kern w:val="0"/>
      <w:szCs w:val="20"/>
    </w:rPr>
  </w:style>
  <w:style w:type="paragraph" w:customStyle="1" w:styleId="afe">
    <w:name w:val="术语定义一级条标题"/>
    <w:qFormat/>
    <w:rPr>
      <w:rFonts w:ascii="黑体" w:eastAsia="黑体" w:hAnsi="宋体" w:hint="eastAsia"/>
      <w:sz w:val="21"/>
      <w:szCs w:val="21"/>
    </w:rPr>
  </w:style>
  <w:style w:type="paragraph" w:customStyle="1" w:styleId="aff">
    <w:name w:val="标准书眉_奇数页"/>
    <w:next w:val="a5"/>
    <w:qFormat/>
    <w:pPr>
      <w:tabs>
        <w:tab w:val="center" w:pos="4154"/>
        <w:tab w:val="right" w:pos="8306"/>
      </w:tabs>
      <w:spacing w:after="220"/>
      <w:jc w:val="right"/>
    </w:pPr>
    <w:rPr>
      <w:rFonts w:ascii="黑体" w:eastAsia="黑体"/>
      <w:sz w:val="21"/>
      <w:szCs w:val="21"/>
    </w:rPr>
  </w:style>
  <w:style w:type="paragraph" w:customStyle="1" w:styleId="aff0">
    <w:name w:val="注："/>
    <w:basedOn w:val="a5"/>
    <w:qFormat/>
    <w:pPr>
      <w:autoSpaceDE w:val="0"/>
      <w:autoSpaceDN w:val="0"/>
      <w:ind w:left="726" w:hanging="363"/>
    </w:pPr>
    <w:rPr>
      <w:rFonts w:ascii="宋体" w:hAnsi="宋体" w:hint="eastAsia"/>
      <w:kern w:val="0"/>
      <w:sz w:val="18"/>
      <w:szCs w:val="18"/>
    </w:rPr>
  </w:style>
  <w:style w:type="paragraph" w:customStyle="1" w:styleId="a4">
    <w:name w:val="附录标识"/>
    <w:basedOn w:val="a5"/>
    <w:next w:val="a5"/>
    <w:qFormat/>
    <w:pPr>
      <w:keepNext/>
      <w:widowControl/>
      <w:numPr>
        <w:numId w:val="2"/>
      </w:numPr>
      <w:shd w:val="clear" w:color="FFFFFF" w:fill="FFFFFF"/>
      <w:spacing w:before="640" w:after="280"/>
      <w:jc w:val="center"/>
      <w:outlineLvl w:val="0"/>
    </w:pPr>
    <w:rPr>
      <w:rFonts w:ascii="黑体" w:eastAsia="黑体"/>
      <w:kern w:val="0"/>
      <w:szCs w:val="20"/>
    </w:rPr>
  </w:style>
  <w:style w:type="paragraph" w:customStyle="1" w:styleId="a3">
    <w:name w:val="正文表标题"/>
    <w:next w:val="af2"/>
    <w:qFormat/>
    <w:pPr>
      <w:numPr>
        <w:numId w:val="3"/>
      </w:numPr>
      <w:tabs>
        <w:tab w:val="left" w:pos="360"/>
      </w:tabs>
      <w:spacing w:beforeLines="50" w:afterLines="50"/>
      <w:ind w:left="0"/>
      <w:jc w:val="center"/>
    </w:pPr>
    <w:rPr>
      <w:rFonts w:ascii="黑体" w:eastAsia="黑体"/>
      <w:sz w:val="21"/>
    </w:rPr>
  </w:style>
  <w:style w:type="paragraph" w:customStyle="1" w:styleId="a2">
    <w:name w:val="附录表标题"/>
    <w:basedOn w:val="a5"/>
    <w:next w:val="af2"/>
    <w:qFormat/>
    <w:pPr>
      <w:numPr>
        <w:ilvl w:val="1"/>
        <w:numId w:val="4"/>
      </w:numPr>
      <w:tabs>
        <w:tab w:val="left" w:pos="180"/>
      </w:tabs>
      <w:spacing w:beforeLines="50" w:afterLines="50"/>
      <w:ind w:left="0" w:firstLine="0"/>
      <w:jc w:val="center"/>
    </w:pPr>
    <w:rPr>
      <w:rFonts w:ascii="黑体" w:eastAsia="黑体"/>
      <w:szCs w:val="21"/>
    </w:rPr>
  </w:style>
  <w:style w:type="paragraph" w:styleId="aff1">
    <w:name w:val="List Paragraph"/>
    <w:basedOn w:val="a5"/>
    <w:uiPriority w:val="99"/>
    <w:qFormat/>
    <w:pPr>
      <w:spacing w:beforeLines="50" w:afterLines="50" w:line="360" w:lineRule="auto"/>
      <w:ind w:firstLineChars="200" w:firstLine="420"/>
    </w:pPr>
    <w:rPr>
      <w:sz w:val="24"/>
    </w:rPr>
  </w:style>
  <w:style w:type="paragraph" w:customStyle="1" w:styleId="aff2">
    <w:name w:val="其他发布日期"/>
    <w:basedOn w:val="a5"/>
    <w:qFormat/>
    <w:pPr>
      <w:framePr w:w="3997" w:h="471" w:hRule="exact" w:vSpace="181" w:wrap="around" w:vAnchor="page" w:hAnchor="text" w:x="1419" w:y="14097" w:anchorLock="1"/>
      <w:widowControl/>
      <w:jc w:val="left"/>
    </w:pPr>
    <w:rPr>
      <w:rFonts w:eastAsia="黑体"/>
      <w:kern w:val="0"/>
      <w:sz w:val="28"/>
      <w:szCs w:val="20"/>
    </w:rPr>
  </w:style>
  <w:style w:type="paragraph" w:customStyle="1" w:styleId="aff3">
    <w:name w:val="式中"/>
    <w:qFormat/>
    <w:pPr>
      <w:ind w:leftChars="200" w:left="200"/>
    </w:pPr>
    <w:rPr>
      <w:rFonts w:ascii="宋体"/>
      <w:sz w:val="21"/>
    </w:rPr>
  </w:style>
  <w:style w:type="paragraph" w:customStyle="1" w:styleId="aff4">
    <w:name w:val="目次、标准名称标题"/>
    <w:basedOn w:val="a5"/>
    <w:next w:val="af2"/>
    <w:qFormat/>
    <w:pPr>
      <w:keepNext/>
      <w:pageBreakBefore/>
      <w:widowControl/>
      <w:shd w:val="clear" w:color="FFFFFF" w:fill="FFFFFF"/>
      <w:spacing w:before="640" w:after="560" w:line="460" w:lineRule="exact"/>
      <w:jc w:val="center"/>
      <w:outlineLvl w:val="0"/>
    </w:pPr>
    <w:rPr>
      <w:rFonts w:ascii="黑体" w:eastAsia="黑体"/>
      <w:kern w:val="0"/>
      <w:szCs w:val="20"/>
    </w:rPr>
  </w:style>
  <w:style w:type="paragraph" w:customStyle="1" w:styleId="TOC10">
    <w:name w:val="TOC 标题1"/>
    <w:basedOn w:val="1"/>
    <w:next w:val="a5"/>
    <w:uiPriority w:val="39"/>
    <w:unhideWhenUsed/>
    <w:qFormat/>
    <w:pPr>
      <w:widowControl/>
      <w:spacing w:before="480" w:after="0" w:line="276" w:lineRule="auto"/>
      <w:jc w:val="left"/>
      <w:outlineLvl w:val="9"/>
    </w:pPr>
    <w:rPr>
      <w:rFonts w:ascii="Cambria" w:hAnsi="Cambria"/>
      <w:color w:val="366091"/>
      <w:kern w:val="0"/>
      <w:sz w:val="28"/>
      <w:szCs w:val="28"/>
    </w:rPr>
  </w:style>
  <w:style w:type="paragraph" w:customStyle="1" w:styleId="aff5">
    <w:name w:val="标准书眉_偶数页"/>
    <w:basedOn w:val="aff"/>
    <w:next w:val="a5"/>
    <w:qFormat/>
    <w:pPr>
      <w:jc w:val="left"/>
    </w:pPr>
  </w:style>
  <w:style w:type="paragraph" w:customStyle="1" w:styleId="WPSOffice1">
    <w:name w:val="WPSOffice手动目录 1"/>
    <w:qFormat/>
  </w:style>
  <w:style w:type="paragraph" w:customStyle="1" w:styleId="a">
    <w:name w:val="章标题"/>
    <w:next w:val="af2"/>
    <w:qFormat/>
    <w:pPr>
      <w:numPr>
        <w:numId w:val="5"/>
      </w:numPr>
      <w:spacing w:beforeLines="100" w:before="312" w:afterLines="100" w:after="312"/>
      <w:jc w:val="both"/>
      <w:outlineLvl w:val="1"/>
    </w:pPr>
    <w:rPr>
      <w:rFonts w:ascii="黑体" w:eastAsia="黑体"/>
      <w:sz w:val="21"/>
    </w:rPr>
  </w:style>
  <w:style w:type="paragraph" w:customStyle="1" w:styleId="aff6">
    <w:name w:val="封面标准英文名称"/>
    <w:basedOn w:val="a5"/>
    <w:qFormat/>
    <w:pPr>
      <w:framePr w:w="9639" w:h="6917" w:hRule="exact" w:wrap="around" w:vAnchor="page" w:hAnchor="page" w:xAlign="center" w:y="6408" w:anchorLock="1"/>
      <w:spacing w:before="370" w:line="400" w:lineRule="exact"/>
      <w:jc w:val="center"/>
      <w:textAlignment w:val="center"/>
    </w:pPr>
    <w:rPr>
      <w:rFonts w:eastAsia="黑体"/>
      <w:kern w:val="0"/>
      <w:sz w:val="28"/>
      <w:szCs w:val="28"/>
    </w:rPr>
  </w:style>
  <w:style w:type="paragraph" w:customStyle="1" w:styleId="aff7">
    <w:name w:val="标准书脚_奇数页"/>
    <w:qFormat/>
    <w:pPr>
      <w:spacing w:before="120"/>
      <w:ind w:right="198"/>
      <w:jc w:val="right"/>
    </w:pPr>
    <w:rPr>
      <w:rFonts w:ascii="宋体"/>
      <w:sz w:val="18"/>
      <w:szCs w:val="18"/>
    </w:rPr>
  </w:style>
  <w:style w:type="paragraph" w:customStyle="1" w:styleId="11">
    <w:name w:val="列表段落1"/>
    <w:basedOn w:val="a5"/>
    <w:uiPriority w:val="99"/>
    <w:qFormat/>
    <w:pPr>
      <w:ind w:firstLineChars="200" w:firstLine="420"/>
    </w:pPr>
  </w:style>
  <w:style w:type="paragraph" w:customStyle="1" w:styleId="aff8">
    <w:name w:val="标准书脚_偶数页"/>
    <w:qFormat/>
    <w:pPr>
      <w:spacing w:before="120"/>
      <w:ind w:left="221"/>
    </w:pPr>
    <w:rPr>
      <w:rFonts w:ascii="宋体"/>
      <w:sz w:val="18"/>
      <w:szCs w:val="18"/>
    </w:rPr>
  </w:style>
  <w:style w:type="paragraph" w:customStyle="1" w:styleId="WPSOffice2">
    <w:name w:val="WPSOffice手动目录 2"/>
    <w:qFormat/>
    <w:pPr>
      <w:ind w:leftChars="200" w:left="200"/>
    </w:pPr>
  </w:style>
  <w:style w:type="paragraph" w:customStyle="1" w:styleId="a1">
    <w:name w:val="数字编号列项（二级）"/>
    <w:qFormat/>
    <w:pPr>
      <w:numPr>
        <w:ilvl w:val="1"/>
        <w:numId w:val="6"/>
      </w:numPr>
      <w:jc w:val="both"/>
    </w:pPr>
    <w:rPr>
      <w:rFonts w:ascii="宋体"/>
      <w:sz w:val="21"/>
    </w:rPr>
  </w:style>
  <w:style w:type="paragraph" w:customStyle="1" w:styleId="a0">
    <w:name w:val="一级条标题"/>
    <w:next w:val="af2"/>
    <w:qFormat/>
    <w:pPr>
      <w:numPr>
        <w:ilvl w:val="1"/>
        <w:numId w:val="5"/>
      </w:numPr>
      <w:spacing w:beforeLines="50" w:afterLines="50"/>
      <w:outlineLvl w:val="2"/>
    </w:pPr>
    <w:rPr>
      <w:rFonts w:ascii="黑体" w:eastAsia="黑体"/>
      <w:sz w:val="21"/>
      <w:szCs w:val="21"/>
    </w:rPr>
  </w:style>
  <w:style w:type="paragraph" w:customStyle="1" w:styleId="aff9">
    <w:name w:val="封面一致性程度标识"/>
    <w:basedOn w:val="aff6"/>
    <w:qFormat/>
    <w:pPr>
      <w:framePr w:wrap="around"/>
      <w:spacing w:before="440"/>
    </w:pPr>
    <w:rPr>
      <w:rFonts w:ascii="宋体" w:eastAsia="宋体"/>
    </w:rPr>
  </w:style>
  <w:style w:type="paragraph" w:customStyle="1" w:styleId="affa">
    <w:name w:val="封面标准文稿类别"/>
    <w:basedOn w:val="a5"/>
    <w:qFormat/>
    <w:pPr>
      <w:framePr w:w="9639" w:h="6917" w:hRule="exact" w:wrap="around" w:vAnchor="page" w:hAnchor="page" w:xAlign="center" w:y="6408" w:anchorLock="1"/>
      <w:spacing w:before="440" w:after="160"/>
      <w:jc w:val="center"/>
      <w:textAlignment w:val="center"/>
    </w:pPr>
    <w:rPr>
      <w:rFonts w:ascii="宋体"/>
      <w:kern w:val="0"/>
      <w:sz w:val="24"/>
      <w:szCs w:val="28"/>
    </w:rPr>
  </w:style>
  <w:style w:type="paragraph" w:customStyle="1" w:styleId="affb">
    <w:name w:val="封面标准文稿编辑信息"/>
    <w:basedOn w:val="affa"/>
    <w:qFormat/>
    <w:pPr>
      <w:framePr w:wrap="around"/>
      <w:spacing w:before="180" w:line="180" w:lineRule="exact"/>
    </w:pPr>
    <w:rPr>
      <w:sz w:val="21"/>
    </w:rPr>
  </w:style>
  <w:style w:type="character" w:styleId="affc">
    <w:name w:val="Placeholder Text"/>
    <w:basedOn w:val="a7"/>
    <w:uiPriority w:val="99"/>
    <w:unhideWhenUsed/>
    <w:qFormat/>
    <w:rPr>
      <w:color w:val="666666"/>
    </w:rPr>
  </w:style>
  <w:style w:type="character" w:customStyle="1" w:styleId="Char">
    <w:name w:val="段 Char"/>
    <w:link w:val="af2"/>
    <w:qFormat/>
    <w:rPr>
      <w:rFonts w:ascii="宋体"/>
      <w:sz w:val="21"/>
    </w:rPr>
  </w:style>
  <w:style w:type="paragraph" w:customStyle="1" w:styleId="affd">
    <w:name w:val="公式"/>
    <w:basedOn w:val="a5"/>
    <w:link w:val="affe"/>
    <w:qFormat/>
    <w:pPr>
      <w:tabs>
        <w:tab w:val="center" w:leader="dot" w:pos="6400"/>
        <w:tab w:val="right" w:leader="middleDot" w:pos="12800"/>
      </w:tabs>
      <w:jc w:val="center"/>
    </w:pPr>
    <w:rPr>
      <w:sz w:val="21"/>
      <w:szCs w:val="21"/>
    </w:rPr>
  </w:style>
  <w:style w:type="character" w:customStyle="1" w:styleId="affe">
    <w:name w:val="公式 字符"/>
    <w:basedOn w:val="a7"/>
    <w:link w:val="affd"/>
    <w:qFormat/>
    <w:rPr>
      <w:kern w:val="2"/>
      <w:sz w:val="21"/>
      <w:szCs w:val="21"/>
    </w:rPr>
  </w:style>
  <w:style w:type="paragraph" w:customStyle="1" w:styleId="afff">
    <w:name w:val="表标题"/>
    <w:basedOn w:val="a5"/>
    <w:qFormat/>
    <w:pPr>
      <w:widowControl/>
      <w:spacing w:beforeLines="25" w:afterLines="25"/>
      <w:jc w:val="center"/>
    </w:pPr>
    <w:rPr>
      <w:rFonts w:ascii="宋体" w:eastAsia="黑体" w:hAnsi="宋体" w:cs="宋体"/>
      <w:b/>
      <w:bCs/>
      <w:kern w:val="0"/>
      <w:sz w:val="21"/>
      <w:szCs w:val="21"/>
    </w:rPr>
  </w:style>
  <w:style w:type="paragraph" w:customStyle="1" w:styleId="12">
    <w:name w:val="修订1"/>
    <w:hidden/>
    <w:uiPriority w:val="99"/>
    <w:unhideWhenUsed/>
    <w:qFormat/>
    <w:rPr>
      <w:kern w:val="2"/>
      <w:sz w:val="32"/>
      <w:szCs w:val="32"/>
    </w:rPr>
  </w:style>
  <w:style w:type="paragraph" w:styleId="afff0">
    <w:name w:val="Revision"/>
    <w:hidden/>
    <w:uiPriority w:val="99"/>
    <w:unhideWhenUsed/>
    <w:rsid w:val="00A24667"/>
    <w:rPr>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ontractReview xmlns="http://schemas.wps.cn/vas-ai-hub/contract-review">
  <reviewItems>
    <reviewItem>
      <errorID>bda315c0-9cfd-4b3f-baac-522e692d9ddd</errorID>
      <errorWord>二零二</errorWord>
      <group>L1_Word</group>
      <groupName>字词问题</groupName>
      <ability>L2_Alias</ability>
      <abilityName>也作/曾用词</abilityName>
      <candidateList>
        <item>二○二</item>
      </candidateList>
      <explain>词汇[二零二]为不规范表述或旧称，其规范书面表述为[二○二]。</explain>
      <paraID>7F4E1B38</paraID>
      <start>0</start>
      <end>3</end>
      <status>unmodified</status>
      <modifiedWord/>
      <trackRevisions>false</trackRevisions>
    </reviewItem>
    <reviewItem>
      <errorID>3b7596a2-3a84-44a2-9f81-3e6e6e5a61b2</errorID>
      <errorWord>铁</errorWord>
      <group>L1_Word</group>
      <groupName>字词问题</groupName>
      <ability>L2_Typo</ability>
      <abilityName>字词错误</abilityName>
      <candidateList>
        <item>铁等</item>
      </candidateList>
      <explain/>
      <paraID>22CC2392</paraID>
      <start>96</start>
      <end>97</end>
      <status>unmodified</status>
      <modifiedWord/>
      <trackRevisions>false</trackRevisions>
    </reviewItem>
    <reviewItem>
      <errorID>9e4e5974-9bed-4dd6-9826-2813d0c90130</errorID>
      <errorWord>(</errorWord>
      <group>L1_Format</group>
      <groupName>格式问题</groupName>
      <ability>L2_HalfPunc</ability>
      <abilityName>全半角检查</abilityName>
      <candidateList>
        <item>（</item>
      </candidateList>
      <explain>文本全半角错误。</explain>
      <paraID>3174C2AA</paraID>
      <start>49</start>
      <end>50</end>
      <status>unmodified</status>
      <modifiedWord/>
      <trackRevisions>false</trackRevisions>
    </reviewItem>
    <reviewItem>
      <errorID>ee75d87e-3450-4867-a448-8c499066f256</errorID>
      <errorWord>)</errorWord>
      <group>L1_Format</group>
      <groupName>格式问题</groupName>
      <ability>L2_HalfPunc</ability>
      <abilityName>全半角检查</abilityName>
      <candidateList>
        <item>）</item>
      </candidateList>
      <explain>文本全半角错误。</explain>
      <paraID>3174C2AA</paraID>
      <start>53</start>
      <end>54</end>
      <status>unmodified</status>
      <modifiedWord/>
      <trackRevisions>false</trackRevisions>
    </reviewItem>
    <reviewItem>
      <errorID>c41ac579-8e37-4eae-b715-79f9385c6f59</errorID>
      <errorWord>数据聚集</errorWord>
      <group>L1_Knowledge</group>
      <groupName>知识性问题</groupName>
      <ability>L2_Term</ability>
      <abilityName>专业术语</abilityName>
      <candidateList>
        <item>数据采集</item>
      </candidateList>
      <explain/>
      <paraID>12C1CAC0</paraID>
      <start>92</start>
      <end>96</end>
      <status>unmodified</status>
      <modifiedWord/>
      <trackRevisions>false</trackRevisions>
    </reviewItem>
    <reviewItem>
      <errorID>efbd540b-babd-4a71-90eb-bd5163db4e80</errorID>
      <errorWord>数据聚集</errorWord>
      <group>L1_Knowledge</group>
      <groupName>知识性问题</groupName>
      <ability>L2_Term</ability>
      <abilityName>专业术语</abilityName>
      <candidateList>
        <item>数据采集</item>
      </candidateList>
      <explain/>
      <paraID>7DAD1AE4</paraID>
      <start>98</start>
      <end>102</end>
      <status>unmodified</status>
      <modifiedWord/>
      <trackRevisions>false</trackRevisions>
    </reviewItem>
    <reviewItem>
      <errorID>31e70ede-4e13-4416-bdda-0a74a0be7311</errorID>
      <errorWord>车车</errorWord>
      <group>L1_Word</group>
      <groupName>字词问题</groupName>
      <ability>L2_Typo</ability>
      <abilityName>字词错误</abilityName>
      <candidateList>
        <item>车</item>
      </candidateList>
      <explain/>
      <paraID>69C58476</paraID>
      <start>244</start>
      <end>247</end>
      <status>modified</status>
      <modifiedWord>车</modifiedWord>
      <trackRevisions>true</trackRevisions>
    </reviewItem>
    <reviewItem>
      <errorID>b3f243e9-61d9-4a47-9f16-bb940fa291d9</errorID>
      <errorWord>（</errorWord>
      <group>L1_Punc</group>
      <groupName>标点问题</groupName>
      <ability>L2_Punc</ability>
      <abilityName>标点符号检查</abilityName>
      <candidateList/>
      <explain>同一形式括号套用。</explain>
      <paraID>705EECFA</paraID>
      <start>63</start>
      <end>64</end>
      <status>unmodified</status>
      <modifiedWord/>
      <trackRevisions>false</trackRevisions>
    </reviewItem>
    <reviewItem>
      <errorID>c3dc8cb2-d0b8-4739-b142-96ce4f5b9e74</errorID>
      <errorWord>）</errorWord>
      <group>L1_Punc</group>
      <groupName>标点问题</groupName>
      <ability>L2_Punc</ability>
      <abilityName>标点符号检查</abilityName>
      <candidateList/>
      <explain>同一形式括号套用。</explain>
      <paraID>705EECFA</paraID>
      <start>66</start>
      <end>67</end>
      <status>unmodified</status>
      <modifiedWord/>
      <trackRevisions>false</trackRevisions>
    </reviewItem>
    <reviewItem>
      <errorID>567d062d-3cd9-481f-b26a-63b379ce4f43</errorID>
      <errorWord>6百</errorWord>
      <group>L1_Knowledge</group>
      <groupName>知识性问题</groupName>
      <ability>L2_Knowledge</ability>
      <abilityName>其他知识</abilityName>
      <candidateList>
        <item>600</item>
      </candidateList>
      <explain/>
      <paraID>54BA0BE6</paraID>
      <start>4</start>
      <end>6</end>
      <status>unmodified</status>
      <modifiedWord/>
      <trackRevisions>false</trackRevisions>
    </reviewItem>
    <reviewItem>
      <errorID>6a90564e-e9e5-494d-978e-a9cab26a0216</errorID>
      <errorWord>公共汽车车</errorWord>
      <group>L1_Word</group>
      <groupName>字词问题</groupName>
      <ability>L2_Typo</ability>
      <abilityName>字词错误</abilityName>
      <candidateList>
        <item>公共汽车</item>
      </candidateList>
      <explain/>
      <paraID>1B024BDC</paraID>
      <start>41</start>
      <end>46</end>
      <status>unmodified</status>
      <modifiedWord/>
      <trackRevisions>false</trackRevisions>
    </reviewItem>
    <reviewItem>
      <errorID>1bf2a212-5b93-42cc-b6a9-52cb841069cc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B856049</paraID>
      <start>12</start>
      <end>13</end>
      <status>unmodified</status>
      <modifiedWord/>
      <trackRevisions>false</trackRevisions>
    </reviewItem>
    <reviewItem>
      <errorID>4f0476cf-5420-49e8-946d-4871ba9096f9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7B768BC2</paraID>
      <start>12</start>
      <end>13</end>
      <status>unmodified</status>
      <modifiedWord/>
      <trackRevisions>false</trackRevisions>
    </reviewItem>
    <reviewItem>
      <errorID>156e9a30-9128-43f8-b775-e2ca03246d7e</errorID>
      <errorWord>（</errorWord>
      <group>L1_Format</group>
      <groupName>格式问题</groupName>
      <ability>L2_HalfPunc</ability>
      <abilityName>全半角检查</abilityName>
      <candidateList>
        <item>(</item>
      </candidateList>
      <explain>文本全半角错误。</explain>
      <paraID>4A6BC4A4</paraID>
      <start>0</start>
      <end>1</end>
      <status>unmodified</status>
      <modifiedWord/>
      <trackRevisions>false</trackRevisions>
    </reviewItem>
    <reviewItem>
      <errorID>bb984e7b-4935-4731-959c-ab44ffa7b935</errorID>
      <errorWord>）</errorWord>
      <group>L1_Format</group>
      <groupName>格式问题</groupName>
      <ability>L2_HalfPunc</ability>
      <abilityName>全半角检查</abilityName>
      <candidateList>
        <item>)</item>
      </candidateList>
      <explain>文本全半角错误。</explain>
      <paraID>4A6BC4A4</paraID>
      <start>14</start>
      <end>15</end>
      <status>unmodified</status>
      <modifiedWord/>
      <trackRevisions>false</trackRevisions>
    </reviewItem>
    <reviewItem>
      <errorID>47d96ffc-5a24-4bfa-924e-d6e09deae252</errorID>
      <errorWord>（</errorWord>
      <group>L1_Format</group>
      <groupName>格式问题</groupName>
      <ability>L2_HalfPunc</ability>
      <abilityName>全半角检查</abilityName>
      <candidateList>
        <item>(</item>
      </candidateList>
      <explain>文本全半角错误。</explain>
      <paraID>4A6BC4A4</paraID>
      <start>34</start>
      <end>35</end>
      <status>unmodified</status>
      <modifiedWord/>
      <trackRevisions>false</trackRevisions>
    </reviewItem>
    <reviewItem>
      <errorID>1e8f1715-1718-4179-9f7c-795394aa99ec</errorID>
      <errorWord>）</errorWord>
      <group>L1_Format</group>
      <groupName>格式问题</groupName>
      <ability>L2_HalfPunc</ability>
      <abilityName>全半角检查</abilityName>
      <candidateList>
        <item>)</item>
      </candidateList>
      <explain>文本全半角错误。</explain>
      <paraID>4A6BC4A4</paraID>
      <start>48</start>
      <end>49</end>
      <status>unmodified</status>
      <modifiedWord/>
      <trackRevisions>false</trackRevisions>
    </reviewItem>
  </reviewItems>
  <config/>
</contractReview>
</file>

<file path=customXml/itemProps1.xml><?xml version="1.0" encoding="utf-8"?>
<ds:datastoreItem xmlns:ds="http://schemas.openxmlformats.org/officeDocument/2006/customXml" ds:itemID="{14C00C44-9D49-40D3-8B83-8C33F0A44A4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E363EDD-4D94-41BD-9BA7-5BB3FAFC0B07}">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723</Words>
  <Characters>4124</Characters>
  <Application>Microsoft Office Word</Application>
  <DocSecurity>0</DocSecurity>
  <Lines>34</Lines>
  <Paragraphs>9</Paragraphs>
  <ScaleCrop>false</ScaleCrop>
  <Company>微软中国</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CEEX</cp:lastModifiedBy>
  <cp:revision>7</cp:revision>
  <cp:lastPrinted>2024-01-15T00:50:00Z</cp:lastPrinted>
  <dcterms:created xsi:type="dcterms:W3CDTF">2025-11-18T03:03:00Z</dcterms:created>
  <dcterms:modified xsi:type="dcterms:W3CDTF">2025-11-25T03:58:00Z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9EBC43BB341641BE92757DE98C26F481_13</vt:lpwstr>
  </property>
  <property fmtid="{D5CDD505-2E9C-101B-9397-08002B2CF9AE}" pid="4" name="KSOTemplateDocerSaveRecord">
    <vt:lpwstr>eyJoZGlkIjoiYzlkYWYyZTQ1ZTEzNjk4ZDgyZjlkMjdmNDJhY2YxY2EiLCJ1c2VySWQiOiIxMDU1NjkwNjQwIn0=</vt:lpwstr>
  </property>
</Properties>
</file>