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1729" w14:textId="77777777" w:rsidR="0091722D" w:rsidRDefault="0091722D">
      <w:pPr>
        <w:jc w:val="center"/>
        <w:rPr>
          <w:rFonts w:ascii="宋体" w:hAnsi="宋体" w:hint="eastAsia"/>
          <w:b/>
          <w:spacing w:val="60"/>
          <w:sz w:val="28"/>
          <w:szCs w:val="28"/>
        </w:rPr>
      </w:pPr>
    </w:p>
    <w:p w14:paraId="2B2B6AF8" w14:textId="77777777" w:rsidR="0091722D" w:rsidRDefault="0091722D">
      <w:pPr>
        <w:spacing w:before="163" w:after="163"/>
        <w:ind w:firstLine="560"/>
        <w:rPr>
          <w:sz w:val="28"/>
          <w:szCs w:val="28"/>
        </w:rPr>
      </w:pPr>
    </w:p>
    <w:p w14:paraId="3BB37539" w14:textId="77777777" w:rsidR="0091722D" w:rsidRDefault="0091722D">
      <w:pPr>
        <w:spacing w:before="163" w:after="163"/>
        <w:ind w:firstLine="560"/>
        <w:rPr>
          <w:sz w:val="28"/>
          <w:szCs w:val="28"/>
        </w:rPr>
      </w:pPr>
    </w:p>
    <w:p w14:paraId="6EA4F055" w14:textId="77777777" w:rsidR="0091722D" w:rsidRDefault="00000000">
      <w:pPr>
        <w:spacing w:afterLines="100" w:after="326"/>
        <w:jc w:val="center"/>
        <w:outlineLvl w:val="0"/>
        <w:rPr>
          <w:rFonts w:ascii="黑体" w:eastAsia="黑体" w:hAnsi="黑体" w:cs="黑体" w:hint="eastAsia"/>
          <w:b/>
          <w:bCs/>
          <w:sz w:val="48"/>
          <w:szCs w:val="48"/>
        </w:rPr>
      </w:pPr>
      <w:bookmarkStart w:id="0" w:name="_Toc23907"/>
      <w:bookmarkStart w:id="1" w:name="_Toc21842"/>
      <w:r>
        <w:rPr>
          <w:rFonts w:ascii="黑体" w:eastAsia="黑体" w:hAnsi="黑体" w:cs="黑体" w:hint="eastAsia"/>
          <w:b/>
          <w:bCs/>
          <w:sz w:val="52"/>
          <w:szCs w:val="52"/>
        </w:rPr>
        <w:t>深圳市共享单车骑行碳普惠方法学编制说明</w:t>
      </w:r>
      <w:bookmarkEnd w:id="0"/>
      <w:bookmarkEnd w:id="1"/>
    </w:p>
    <w:p w14:paraId="48A4EAE8" w14:textId="77777777" w:rsidR="0091722D" w:rsidRDefault="00000000">
      <w:pPr>
        <w:spacing w:afterLines="100" w:after="326"/>
        <w:jc w:val="center"/>
        <w:outlineLvl w:val="0"/>
        <w:rPr>
          <w:rFonts w:ascii="黑体" w:eastAsia="黑体" w:hAnsi="黑体" w:cs="黑体" w:hint="eastAsia"/>
          <w:b/>
          <w:bCs/>
        </w:rPr>
      </w:pPr>
      <w:bookmarkStart w:id="2" w:name="_Toc22971"/>
      <w:bookmarkStart w:id="3" w:name="_Toc21558"/>
      <w:r>
        <w:rPr>
          <w:rFonts w:ascii="黑体" w:eastAsia="黑体" w:hAnsi="黑体" w:cs="黑体" w:hint="eastAsia"/>
          <w:b/>
          <w:bCs/>
        </w:rPr>
        <w:t>（征求意见稿）</w:t>
      </w:r>
      <w:bookmarkEnd w:id="2"/>
      <w:bookmarkEnd w:id="3"/>
    </w:p>
    <w:p w14:paraId="79D4B433" w14:textId="77777777" w:rsidR="0091722D" w:rsidRDefault="0091722D">
      <w:pPr>
        <w:adjustRightInd w:val="0"/>
        <w:snapToGrid w:val="0"/>
        <w:jc w:val="center"/>
        <w:rPr>
          <w:sz w:val="28"/>
          <w:szCs w:val="28"/>
        </w:rPr>
      </w:pPr>
    </w:p>
    <w:p w14:paraId="7011F446" w14:textId="77777777" w:rsidR="0091722D" w:rsidRDefault="0091722D">
      <w:pPr>
        <w:jc w:val="center"/>
        <w:rPr>
          <w:rFonts w:ascii="宋体" w:hAnsi="宋体" w:hint="eastAsia"/>
          <w:sz w:val="28"/>
          <w:szCs w:val="28"/>
        </w:rPr>
      </w:pPr>
    </w:p>
    <w:p w14:paraId="7BD5030F" w14:textId="77777777" w:rsidR="0091722D" w:rsidRDefault="0091722D">
      <w:pPr>
        <w:jc w:val="center"/>
        <w:rPr>
          <w:rFonts w:ascii="宋体" w:hAnsi="宋体" w:hint="eastAsia"/>
          <w:sz w:val="28"/>
          <w:szCs w:val="28"/>
        </w:rPr>
      </w:pPr>
    </w:p>
    <w:p w14:paraId="35E34A5D" w14:textId="77777777" w:rsidR="0091722D" w:rsidRDefault="0091722D">
      <w:pPr>
        <w:jc w:val="center"/>
        <w:rPr>
          <w:rFonts w:ascii="宋体" w:hAnsi="宋体" w:hint="eastAsia"/>
          <w:sz w:val="28"/>
          <w:szCs w:val="28"/>
        </w:rPr>
      </w:pPr>
    </w:p>
    <w:p w14:paraId="6BA8AB9F" w14:textId="77777777" w:rsidR="0091722D" w:rsidRDefault="0091722D">
      <w:pPr>
        <w:jc w:val="center"/>
        <w:rPr>
          <w:rFonts w:ascii="宋体" w:hAnsi="宋体" w:hint="eastAsia"/>
          <w:sz w:val="28"/>
          <w:szCs w:val="28"/>
        </w:rPr>
      </w:pPr>
    </w:p>
    <w:p w14:paraId="40CCEACC" w14:textId="77777777" w:rsidR="0091722D" w:rsidRDefault="0091722D">
      <w:pPr>
        <w:jc w:val="center"/>
        <w:rPr>
          <w:rFonts w:ascii="宋体" w:hAnsi="宋体" w:hint="eastAsia"/>
          <w:sz w:val="28"/>
          <w:szCs w:val="28"/>
        </w:rPr>
      </w:pPr>
    </w:p>
    <w:p w14:paraId="10586DA7" w14:textId="77777777" w:rsidR="0091722D" w:rsidRDefault="0091722D">
      <w:pPr>
        <w:jc w:val="center"/>
        <w:rPr>
          <w:rFonts w:ascii="宋体" w:hAnsi="宋体" w:hint="eastAsia"/>
          <w:sz w:val="28"/>
          <w:szCs w:val="28"/>
        </w:rPr>
      </w:pPr>
    </w:p>
    <w:p w14:paraId="2B735578" w14:textId="77777777" w:rsidR="0091722D" w:rsidRDefault="0091722D">
      <w:pPr>
        <w:adjustRightInd w:val="0"/>
        <w:snapToGrid w:val="0"/>
        <w:jc w:val="center"/>
        <w:rPr>
          <w:rFonts w:ascii="宋体" w:hAnsi="宋体" w:hint="eastAsia"/>
          <w:b/>
          <w:bCs/>
          <w:sz w:val="28"/>
          <w:szCs w:val="28"/>
        </w:rPr>
      </w:pPr>
    </w:p>
    <w:p w14:paraId="02A2A01C" w14:textId="77777777" w:rsidR="0091722D" w:rsidRDefault="0091722D">
      <w:pPr>
        <w:adjustRightInd w:val="0"/>
        <w:snapToGrid w:val="0"/>
        <w:jc w:val="center"/>
        <w:rPr>
          <w:rFonts w:ascii="宋体" w:hAnsi="宋体" w:hint="eastAsia"/>
          <w:b/>
          <w:bCs/>
          <w:sz w:val="28"/>
          <w:szCs w:val="28"/>
        </w:rPr>
      </w:pPr>
    </w:p>
    <w:p w14:paraId="33E4F889" w14:textId="77777777" w:rsidR="0091722D" w:rsidRDefault="0091722D">
      <w:pPr>
        <w:adjustRightInd w:val="0"/>
        <w:snapToGrid w:val="0"/>
        <w:jc w:val="center"/>
        <w:rPr>
          <w:rFonts w:ascii="宋体" w:hAnsi="宋体" w:hint="eastAsia"/>
          <w:b/>
          <w:bCs/>
          <w:sz w:val="28"/>
          <w:szCs w:val="28"/>
        </w:rPr>
      </w:pPr>
    </w:p>
    <w:p w14:paraId="721F799C" w14:textId="77777777" w:rsidR="0091722D" w:rsidRDefault="0091722D">
      <w:pPr>
        <w:adjustRightInd w:val="0"/>
        <w:snapToGrid w:val="0"/>
        <w:jc w:val="center"/>
        <w:rPr>
          <w:rFonts w:ascii="宋体" w:hAnsi="宋体" w:hint="eastAsia"/>
          <w:b/>
          <w:bCs/>
          <w:sz w:val="28"/>
          <w:szCs w:val="28"/>
        </w:rPr>
      </w:pPr>
    </w:p>
    <w:p w14:paraId="3C893E59" w14:textId="77777777" w:rsidR="0091722D" w:rsidRDefault="0091722D">
      <w:pPr>
        <w:adjustRightInd w:val="0"/>
        <w:snapToGrid w:val="0"/>
        <w:jc w:val="center"/>
        <w:rPr>
          <w:rFonts w:ascii="宋体" w:hAnsi="宋体" w:hint="eastAsia"/>
          <w:b/>
          <w:bCs/>
          <w:sz w:val="28"/>
          <w:szCs w:val="28"/>
        </w:rPr>
      </w:pPr>
    </w:p>
    <w:p w14:paraId="7829ACBA" w14:textId="77777777" w:rsidR="0091722D" w:rsidRDefault="00000000">
      <w:pPr>
        <w:spacing w:before="163" w:after="163"/>
        <w:jc w:val="center"/>
        <w:rPr>
          <w:rFonts w:ascii="宋体" w:eastAsia="黑体" w:hAnsi="宋体" w:hint="eastAsia"/>
          <w:sz w:val="28"/>
          <w:szCs w:val="28"/>
        </w:rPr>
        <w:sectPr w:rsidR="0091722D">
          <w:headerReference w:type="default" r:id="rId10"/>
          <w:footerReference w:type="even" r:id="rId11"/>
          <w:footerReference w:type="default" r:id="rId12"/>
          <w:pgSz w:w="11906" w:h="16838"/>
          <w:pgMar w:top="1440" w:right="1800" w:bottom="1440" w:left="1800" w:header="1417" w:footer="1134" w:gutter="0"/>
          <w:cols w:space="720"/>
          <w:docGrid w:type="lines" w:linePitch="326"/>
        </w:sectPr>
      </w:pPr>
      <w:r>
        <w:rPr>
          <w:rFonts w:ascii="黑体" w:eastAsia="黑体" w:hAnsi="黑体" w:cs="黑体" w:hint="eastAsia"/>
        </w:rPr>
        <w:t>二零二五年十一月</w:t>
      </w:r>
    </w:p>
    <w:p w14:paraId="71D457F3" w14:textId="77777777" w:rsidR="0091722D" w:rsidRDefault="00000000">
      <w:pPr>
        <w:pStyle w:val="1"/>
        <w:numPr>
          <w:ilvl w:val="0"/>
          <w:numId w:val="7"/>
        </w:numPr>
        <w:spacing w:before="0" w:after="0" w:line="360" w:lineRule="auto"/>
        <w:ind w:left="0" w:firstLineChars="200" w:firstLine="602"/>
        <w:jc w:val="left"/>
        <w:rPr>
          <w:sz w:val="30"/>
        </w:rPr>
      </w:pPr>
      <w:bookmarkStart w:id="4" w:name="_Toc1690"/>
      <w:bookmarkStart w:id="5" w:name="_Toc26884"/>
      <w:bookmarkStart w:id="6" w:name="_Toc6346"/>
      <w:bookmarkStart w:id="7" w:name="_Toc63435835"/>
      <w:bookmarkStart w:id="8" w:name="_Toc88473800"/>
      <w:bookmarkStart w:id="9" w:name="_Toc29682"/>
      <w:r>
        <w:rPr>
          <w:rFonts w:hint="eastAsia"/>
          <w:sz w:val="30"/>
        </w:rPr>
        <w:lastRenderedPageBreak/>
        <w:t>编制背景</w:t>
      </w:r>
      <w:bookmarkEnd w:id="4"/>
      <w:bookmarkEnd w:id="5"/>
    </w:p>
    <w:bookmarkEnd w:id="6"/>
    <w:bookmarkEnd w:id="7"/>
    <w:bookmarkEnd w:id="8"/>
    <w:bookmarkEnd w:id="9"/>
    <w:p w14:paraId="7A3EF332" w14:textId="77777777" w:rsidR="0091722D" w:rsidRDefault="00000000">
      <w:pPr>
        <w:ind w:firstLineChars="200" w:firstLine="560"/>
        <w:rPr>
          <w:rFonts w:ascii="宋体" w:hAnsi="宋体" w:hint="eastAsia"/>
          <w:sz w:val="28"/>
          <w:szCs w:val="28"/>
        </w:rPr>
      </w:pPr>
      <w:r>
        <w:rPr>
          <w:rFonts w:ascii="宋体" w:hAnsi="宋体" w:hint="eastAsia"/>
          <w:sz w:val="28"/>
          <w:szCs w:val="28"/>
        </w:rPr>
        <w:t>2021年9月，国务院发布的《关于完整准确全面贯彻新发展理念做好碳达峰碳中和工作的意见》提出，“加快形成绿色生产生活方式。倡导绿色低碳生活方式。”同年10月，国务院发布《2030年前碳达峰行动方案》提出，“增强社会公众绿色低碳意识；推广绿色低碳生活方式。”以上两个国家</w:t>
      </w:r>
      <w:proofErr w:type="gramStart"/>
      <w:r>
        <w:rPr>
          <w:rFonts w:ascii="宋体" w:hAnsi="宋体" w:hint="eastAsia"/>
          <w:sz w:val="28"/>
          <w:szCs w:val="28"/>
        </w:rPr>
        <w:t>碳达峰碳</w:t>
      </w:r>
      <w:proofErr w:type="gramEnd"/>
      <w:r>
        <w:rPr>
          <w:rFonts w:ascii="宋体" w:hAnsi="宋体" w:hint="eastAsia"/>
          <w:sz w:val="28"/>
          <w:szCs w:val="28"/>
        </w:rPr>
        <w:t>中和顶层设计文件均对鼓励社会公众开展绿色生活方式提出了要求。</w:t>
      </w:r>
    </w:p>
    <w:p w14:paraId="5C04B0FC" w14:textId="77777777" w:rsidR="0091722D" w:rsidRDefault="00000000">
      <w:pPr>
        <w:ind w:firstLineChars="200" w:firstLine="560"/>
        <w:rPr>
          <w:rFonts w:ascii="宋体" w:hAnsi="宋体" w:hint="eastAsia"/>
          <w:sz w:val="28"/>
          <w:szCs w:val="28"/>
        </w:rPr>
      </w:pPr>
      <w:r>
        <w:rPr>
          <w:rFonts w:ascii="宋体" w:hAnsi="宋体" w:hint="eastAsia"/>
          <w:sz w:val="28"/>
          <w:szCs w:val="28"/>
        </w:rPr>
        <w:t>2021年11月深圳市人民政府办公厅印发《深圳碳普惠体系建设工作方案》（简称《工作方案》），提出建立深圳碳普惠体系，通过量化小微企业、社会公众低碳行为的减排量，并通过政策鼓励、商业激励、公益支持、市场交易等手段引导绿色低碳行为，从而提升社会公众的绿色低碳生产生活意识与意愿。</w:t>
      </w:r>
    </w:p>
    <w:p w14:paraId="3B069C13" w14:textId="77777777" w:rsidR="0091722D" w:rsidRDefault="00000000">
      <w:pPr>
        <w:ind w:firstLineChars="200" w:firstLine="560"/>
        <w:rPr>
          <w:rFonts w:ascii="宋体" w:hAnsi="宋体" w:hint="eastAsia"/>
          <w:sz w:val="28"/>
          <w:szCs w:val="28"/>
        </w:rPr>
      </w:pPr>
      <w:r>
        <w:rPr>
          <w:rFonts w:ascii="宋体" w:hAnsi="宋体" w:hint="eastAsia"/>
          <w:sz w:val="28"/>
          <w:szCs w:val="28"/>
        </w:rPr>
        <w:t>深圳碳普惠体系包含绿色出行、绿色消费、绿色生活、绿色公益、小</w:t>
      </w:r>
      <w:proofErr w:type="gramStart"/>
      <w:r>
        <w:rPr>
          <w:rFonts w:ascii="宋体" w:hAnsi="宋体" w:hint="eastAsia"/>
          <w:sz w:val="28"/>
          <w:szCs w:val="28"/>
        </w:rPr>
        <w:t>微企业</w:t>
      </w:r>
      <w:proofErr w:type="gramEnd"/>
      <w:r>
        <w:rPr>
          <w:rFonts w:ascii="宋体" w:hAnsi="宋体" w:hint="eastAsia"/>
          <w:sz w:val="28"/>
          <w:szCs w:val="28"/>
        </w:rPr>
        <w:t>节能减</w:t>
      </w:r>
      <w:proofErr w:type="gramStart"/>
      <w:r>
        <w:rPr>
          <w:rFonts w:ascii="宋体" w:hAnsi="宋体" w:hint="eastAsia"/>
          <w:sz w:val="28"/>
          <w:szCs w:val="28"/>
        </w:rPr>
        <w:t>排项目</w:t>
      </w:r>
      <w:proofErr w:type="gramEnd"/>
      <w:r>
        <w:rPr>
          <w:rFonts w:ascii="宋体" w:hAnsi="宋体" w:hint="eastAsia"/>
          <w:sz w:val="28"/>
          <w:szCs w:val="28"/>
        </w:rPr>
        <w:t>开发等五类低碳场景体系，其中共享单车骑行是公众绿色出行方式之一。本方法学编制旨在指导社会公众使用共享单车出行方式所产生的减排量的核算，从而服务共享单车骑行碳普惠核证减排量的开发，保障碳普惠体系的规范有序发展。</w:t>
      </w:r>
    </w:p>
    <w:p w14:paraId="079E474B" w14:textId="77777777" w:rsidR="0091722D" w:rsidRDefault="00000000">
      <w:pPr>
        <w:pStyle w:val="1"/>
        <w:numPr>
          <w:ilvl w:val="0"/>
          <w:numId w:val="7"/>
        </w:numPr>
        <w:spacing w:before="0" w:after="0" w:line="360" w:lineRule="auto"/>
        <w:ind w:left="0" w:firstLineChars="200" w:firstLine="602"/>
        <w:jc w:val="left"/>
        <w:rPr>
          <w:sz w:val="30"/>
        </w:rPr>
      </w:pPr>
      <w:bookmarkStart w:id="10" w:name="_Toc12232"/>
      <w:bookmarkStart w:id="11" w:name="_Toc16077"/>
      <w:bookmarkStart w:id="12" w:name="_Toc88473801"/>
      <w:r>
        <w:rPr>
          <w:rFonts w:hint="eastAsia"/>
          <w:sz w:val="30"/>
        </w:rPr>
        <w:t>工作简况</w:t>
      </w:r>
      <w:bookmarkEnd w:id="10"/>
      <w:bookmarkEnd w:id="11"/>
    </w:p>
    <w:p w14:paraId="5E21B92C" w14:textId="77777777" w:rsidR="0091722D" w:rsidRDefault="00000000">
      <w:pPr>
        <w:spacing w:line="360" w:lineRule="auto"/>
        <w:ind w:firstLineChars="200" w:firstLine="562"/>
        <w:jc w:val="left"/>
        <w:outlineLvl w:val="1"/>
        <w:rPr>
          <w:rFonts w:ascii="宋体" w:hAnsi="宋体" w:hint="eastAsia"/>
          <w:b/>
          <w:sz w:val="28"/>
          <w:szCs w:val="28"/>
        </w:rPr>
      </w:pPr>
      <w:bookmarkStart w:id="13" w:name="_Toc9312"/>
      <w:r>
        <w:rPr>
          <w:rFonts w:ascii="宋体" w:hAnsi="宋体"/>
          <w:b/>
          <w:sz w:val="28"/>
          <w:szCs w:val="28"/>
        </w:rPr>
        <w:t xml:space="preserve">1. </w:t>
      </w:r>
      <w:r>
        <w:rPr>
          <w:rFonts w:ascii="宋体" w:hAnsi="宋体" w:hint="eastAsia"/>
          <w:b/>
          <w:sz w:val="28"/>
          <w:szCs w:val="28"/>
        </w:rPr>
        <w:t>任务来源</w:t>
      </w:r>
      <w:bookmarkEnd w:id="13"/>
    </w:p>
    <w:p w14:paraId="4EC9BE46"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结合深圳市绿色低碳发展要求，基于居民共享单车骑行场景，修订《深圳市共享单车骑行碳普惠方法学（试行）》，以方法</w:t>
      </w:r>
      <w:proofErr w:type="gramStart"/>
      <w:r>
        <w:rPr>
          <w:rFonts w:ascii="宋体" w:hAnsi="宋体" w:hint="eastAsia"/>
          <w:sz w:val="28"/>
          <w:szCs w:val="28"/>
        </w:rPr>
        <w:t>学规范减</w:t>
      </w:r>
      <w:proofErr w:type="gramEnd"/>
      <w:r>
        <w:rPr>
          <w:rFonts w:ascii="宋体" w:hAnsi="宋体" w:hint="eastAsia"/>
          <w:sz w:val="28"/>
          <w:szCs w:val="28"/>
        </w:rPr>
        <w:t>排</w:t>
      </w:r>
      <w:r>
        <w:rPr>
          <w:rFonts w:ascii="宋体" w:hAnsi="宋体" w:hint="eastAsia"/>
          <w:sz w:val="28"/>
          <w:szCs w:val="28"/>
        </w:rPr>
        <w:lastRenderedPageBreak/>
        <w:t>量核算。为此，深圳绿色交易所有限公司开展《深圳市共享单车骑行碳普惠方法学（试行）》修订工作。</w:t>
      </w:r>
    </w:p>
    <w:p w14:paraId="2C9575D9" w14:textId="77777777" w:rsidR="0091722D" w:rsidRDefault="00000000">
      <w:pPr>
        <w:spacing w:line="360" w:lineRule="auto"/>
        <w:ind w:firstLineChars="200" w:firstLine="562"/>
        <w:jc w:val="left"/>
        <w:outlineLvl w:val="1"/>
        <w:rPr>
          <w:rFonts w:ascii="宋体" w:hAnsi="宋体" w:hint="eastAsia"/>
          <w:b/>
          <w:sz w:val="28"/>
          <w:szCs w:val="28"/>
        </w:rPr>
      </w:pPr>
      <w:bookmarkStart w:id="14" w:name="_Toc8870"/>
      <w:r>
        <w:rPr>
          <w:rFonts w:ascii="宋体" w:hAnsi="宋体"/>
          <w:b/>
          <w:sz w:val="28"/>
          <w:szCs w:val="28"/>
        </w:rPr>
        <w:t>2. 编制目的</w:t>
      </w:r>
      <w:bookmarkEnd w:id="14"/>
    </w:p>
    <w:p w14:paraId="7CD6C751"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（1）交通是城市碳排放的重要来源</w:t>
      </w:r>
    </w:p>
    <w:p w14:paraId="56A96530"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根据深圳市温室气体排放清单的统计结果，交通行业碳排放占比40%，是最主要的排放源，因此交通行业的低碳化对深圳市碳中和进程有着十分重要的意义。在还无法通过法律制度来约束的情况下，低碳意识的宣教和低碳行为的鼓励就显得尤为重要。通过建立深圳市共享单车碳普惠方法学，量化居民使用共享单车的碳普惠行为，吸引居民参与到日常的低碳活动中，鼓励居民使用共享单车出行，让居民意识到自己的行为具有减排效用，从而培养日常低碳出行习惯，形成社会低碳新风尚。</w:t>
      </w:r>
    </w:p>
    <w:p w14:paraId="3B9BB888"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（2）深圳碳普惠方法学是构建深圳碳普惠体系的重要支撑</w:t>
      </w:r>
    </w:p>
    <w:p w14:paraId="600307EE"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2021年11月深圳市人民政府办公厅印发《深圳碳普惠体系建设工作方案》（简称《工作方案》），深圳碳普惠体系计划打造绿色出行、绿色消费、绿色生活、绿色公益等低碳场景。在绿色出行场景中，共享单车骑行是其中重点打造的场景之一。制定深圳市共享单车碳普惠方法学，可以科学量化深圳市居民使用共享单车出行所产生的减排量，并通过深圳碳普惠循环机制产生碳积分，</w:t>
      </w:r>
      <w:proofErr w:type="gramStart"/>
      <w:r>
        <w:rPr>
          <w:rFonts w:ascii="宋体" w:hAnsi="宋体" w:hint="eastAsia"/>
          <w:sz w:val="28"/>
          <w:szCs w:val="28"/>
        </w:rPr>
        <w:t>搭配美团</w:t>
      </w:r>
      <w:proofErr w:type="gramEnd"/>
      <w:r>
        <w:rPr>
          <w:rFonts w:ascii="宋体" w:hAnsi="宋体" w:hint="eastAsia"/>
          <w:sz w:val="28"/>
          <w:szCs w:val="28"/>
        </w:rPr>
        <w:t>和哈</w:t>
      </w:r>
      <w:proofErr w:type="gramStart"/>
      <w:r>
        <w:rPr>
          <w:rFonts w:ascii="宋体" w:hAnsi="宋体" w:hint="eastAsia"/>
          <w:sz w:val="28"/>
          <w:szCs w:val="28"/>
        </w:rPr>
        <w:t>啰</w:t>
      </w:r>
      <w:proofErr w:type="gramEnd"/>
      <w:r>
        <w:rPr>
          <w:rFonts w:ascii="宋体" w:hAnsi="宋体" w:hint="eastAsia"/>
          <w:sz w:val="28"/>
          <w:szCs w:val="28"/>
        </w:rPr>
        <w:t>自有平台积分为居民组合配置相应权益，助力构建深圳碳普惠体系建设。</w:t>
      </w:r>
    </w:p>
    <w:p w14:paraId="6F541D16"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（3）深圳碳普惠机制是强化平台用户粘性的重要方式</w:t>
      </w:r>
    </w:p>
    <w:p w14:paraId="08ECB6DA"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深圳碳普惠机制将量化小微企业、社会公众低碳行为的减排量，通过碳普惠应用程序与</w:t>
      </w:r>
      <w:proofErr w:type="gramStart"/>
      <w:r>
        <w:rPr>
          <w:rFonts w:ascii="宋体" w:hAnsi="宋体" w:hint="eastAsia"/>
          <w:sz w:val="28"/>
          <w:szCs w:val="28"/>
        </w:rPr>
        <w:t>碳交易</w:t>
      </w:r>
      <w:proofErr w:type="gramEnd"/>
      <w:r>
        <w:rPr>
          <w:rFonts w:ascii="宋体" w:hAnsi="宋体" w:hint="eastAsia"/>
          <w:sz w:val="28"/>
          <w:szCs w:val="28"/>
        </w:rPr>
        <w:t>市场平台互联互通。以政策鼓励、商业激励、公益支持、市场交易等手段引导绿色低碳行为，从而提升社会</w:t>
      </w:r>
      <w:r>
        <w:rPr>
          <w:rFonts w:ascii="宋体" w:hAnsi="宋体" w:hint="eastAsia"/>
          <w:sz w:val="28"/>
          <w:szCs w:val="28"/>
        </w:rPr>
        <w:lastRenderedPageBreak/>
        <w:t>公众的绿色低碳生产生活意识与意愿。搭建共享单车骑行客户端，依托大数据与互联网技术，通过深圳碳普惠机制，为使用共享单车出行的深圳市民完成价值回馈，进而</w:t>
      </w:r>
      <w:proofErr w:type="gramStart"/>
      <w:r>
        <w:rPr>
          <w:rFonts w:ascii="宋体" w:hAnsi="宋体" w:hint="eastAsia"/>
          <w:sz w:val="28"/>
          <w:szCs w:val="28"/>
        </w:rPr>
        <w:t>提升美团和</w:t>
      </w:r>
      <w:proofErr w:type="gramEnd"/>
      <w:r>
        <w:rPr>
          <w:rFonts w:ascii="宋体" w:hAnsi="宋体" w:hint="eastAsia"/>
          <w:sz w:val="28"/>
          <w:szCs w:val="28"/>
        </w:rPr>
        <w:t>哈</w:t>
      </w:r>
      <w:proofErr w:type="gramStart"/>
      <w:r>
        <w:rPr>
          <w:rFonts w:ascii="宋体" w:hAnsi="宋体" w:hint="eastAsia"/>
          <w:sz w:val="28"/>
          <w:szCs w:val="28"/>
        </w:rPr>
        <w:t>啰</w:t>
      </w:r>
      <w:proofErr w:type="gramEnd"/>
      <w:r>
        <w:rPr>
          <w:rFonts w:ascii="宋体" w:hAnsi="宋体" w:hint="eastAsia"/>
          <w:sz w:val="28"/>
          <w:szCs w:val="28"/>
        </w:rPr>
        <w:t>作为碳普惠应用程序的用户粘性，为构建绿色出行方式夯实基础，提升规模。</w:t>
      </w:r>
    </w:p>
    <w:p w14:paraId="7C2F855C" w14:textId="77777777" w:rsidR="0091722D" w:rsidRDefault="00000000">
      <w:pPr>
        <w:spacing w:line="360" w:lineRule="auto"/>
        <w:ind w:firstLineChars="200" w:firstLine="562"/>
        <w:jc w:val="left"/>
        <w:outlineLvl w:val="1"/>
        <w:rPr>
          <w:rFonts w:ascii="宋体" w:hAnsi="宋体" w:hint="eastAsia"/>
          <w:b/>
          <w:sz w:val="28"/>
          <w:szCs w:val="28"/>
        </w:rPr>
      </w:pPr>
      <w:bookmarkStart w:id="15" w:name="_Toc20053"/>
      <w:r>
        <w:rPr>
          <w:rFonts w:ascii="宋体" w:hAnsi="宋体"/>
          <w:b/>
          <w:sz w:val="28"/>
          <w:szCs w:val="28"/>
        </w:rPr>
        <w:t>3. 编制原则</w:t>
      </w:r>
      <w:bookmarkEnd w:id="15"/>
    </w:p>
    <w:p w14:paraId="461C1528" w14:textId="77777777" w:rsidR="0091722D" w:rsidRDefault="00000000">
      <w:pPr>
        <w:ind w:firstLineChars="200" w:firstLine="560"/>
        <w:rPr>
          <w:rFonts w:ascii="宋体" w:hAnsi="宋体" w:hint="eastAsia"/>
          <w:sz w:val="28"/>
          <w:szCs w:val="28"/>
        </w:rPr>
      </w:pPr>
      <w:r>
        <w:rPr>
          <w:rFonts w:ascii="宋体" w:hAnsi="宋体" w:hint="eastAsia"/>
          <w:sz w:val="28"/>
          <w:szCs w:val="28"/>
        </w:rPr>
        <w:t>（1）科学性：计算方式科学，所需数据合理，确保减排量计算尽量贴近实际情况。</w:t>
      </w:r>
    </w:p>
    <w:p w14:paraId="3E646763" w14:textId="77777777" w:rsidR="0091722D" w:rsidRDefault="00000000">
      <w:pPr>
        <w:ind w:firstLineChars="200" w:firstLine="560"/>
        <w:rPr>
          <w:rFonts w:ascii="宋体" w:hAnsi="宋体" w:hint="eastAsia"/>
          <w:sz w:val="28"/>
          <w:szCs w:val="28"/>
        </w:rPr>
      </w:pPr>
      <w:r>
        <w:rPr>
          <w:rFonts w:ascii="宋体" w:hAnsi="宋体" w:hint="eastAsia"/>
          <w:sz w:val="28"/>
          <w:szCs w:val="28"/>
        </w:rPr>
        <w:t>（2）准确性：对碳普惠行为减排量进行准确的计算，尽可能减少偏差和不确定性。</w:t>
      </w:r>
    </w:p>
    <w:p w14:paraId="2CDF2239" w14:textId="77777777" w:rsidR="0091722D" w:rsidRDefault="00000000">
      <w:pPr>
        <w:ind w:firstLineChars="200" w:firstLine="560"/>
        <w:rPr>
          <w:rFonts w:ascii="宋体" w:hAnsi="宋体" w:hint="eastAsia"/>
          <w:sz w:val="28"/>
          <w:szCs w:val="28"/>
        </w:rPr>
      </w:pPr>
      <w:r>
        <w:rPr>
          <w:rFonts w:ascii="宋体" w:hAnsi="宋体" w:hint="eastAsia"/>
          <w:sz w:val="28"/>
          <w:szCs w:val="28"/>
        </w:rPr>
        <w:t>（3）保守性：遵循较为保守的评估方法计算温室气体减排量，减排量规模影响因素明确可控，基准线设定减</w:t>
      </w:r>
      <w:proofErr w:type="gramStart"/>
      <w:r>
        <w:rPr>
          <w:rFonts w:ascii="宋体" w:hAnsi="宋体" w:hint="eastAsia"/>
          <w:sz w:val="28"/>
          <w:szCs w:val="28"/>
        </w:rPr>
        <w:t>排效益</w:t>
      </w:r>
      <w:proofErr w:type="gramEnd"/>
      <w:r>
        <w:rPr>
          <w:rFonts w:ascii="宋体" w:hAnsi="宋体" w:hint="eastAsia"/>
          <w:sz w:val="28"/>
          <w:szCs w:val="28"/>
        </w:rPr>
        <w:t>明显。</w:t>
      </w:r>
    </w:p>
    <w:p w14:paraId="0730B5B5" w14:textId="77777777" w:rsidR="0091722D" w:rsidRDefault="00000000">
      <w:pPr>
        <w:ind w:firstLineChars="200" w:firstLine="560"/>
        <w:rPr>
          <w:rFonts w:ascii="宋体" w:hAnsi="宋体" w:hint="eastAsia"/>
          <w:sz w:val="28"/>
          <w:szCs w:val="28"/>
        </w:rPr>
      </w:pPr>
      <w:r>
        <w:rPr>
          <w:rFonts w:ascii="宋体" w:hAnsi="宋体" w:hint="eastAsia"/>
          <w:sz w:val="28"/>
          <w:szCs w:val="28"/>
        </w:rPr>
        <w:t>（4）适用性：符合当前地区的实际情况，且与当前地区产业发展水平匹配。</w:t>
      </w:r>
    </w:p>
    <w:p w14:paraId="72B7A1CA"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（5）可操作性：计算方法简便，计算公式清晰明了，技术语言通俗易懂。</w:t>
      </w:r>
    </w:p>
    <w:p w14:paraId="09C6B5B3" w14:textId="77777777" w:rsidR="0091722D" w:rsidRDefault="00000000">
      <w:pPr>
        <w:spacing w:line="360" w:lineRule="auto"/>
        <w:ind w:firstLineChars="200" w:firstLine="562"/>
        <w:jc w:val="left"/>
        <w:outlineLvl w:val="1"/>
        <w:rPr>
          <w:rFonts w:ascii="宋体" w:hAnsi="宋体" w:hint="eastAsia"/>
          <w:b/>
          <w:sz w:val="28"/>
          <w:szCs w:val="28"/>
        </w:rPr>
      </w:pPr>
      <w:bookmarkStart w:id="16" w:name="_Toc26544"/>
      <w:r>
        <w:rPr>
          <w:rFonts w:ascii="宋体" w:hAnsi="宋体"/>
          <w:b/>
          <w:sz w:val="28"/>
          <w:szCs w:val="28"/>
        </w:rPr>
        <w:t>4.</w:t>
      </w:r>
      <w:r>
        <w:rPr>
          <w:rFonts w:ascii="宋体" w:hAnsi="宋体" w:hint="eastAsia"/>
          <w:b/>
          <w:sz w:val="28"/>
          <w:szCs w:val="28"/>
        </w:rPr>
        <w:t xml:space="preserve"> 主要</w:t>
      </w:r>
      <w:r>
        <w:rPr>
          <w:rFonts w:ascii="宋体" w:hAnsi="宋体"/>
          <w:b/>
          <w:sz w:val="28"/>
          <w:szCs w:val="28"/>
        </w:rPr>
        <w:t>编制</w:t>
      </w:r>
      <w:r>
        <w:rPr>
          <w:rFonts w:ascii="宋体" w:hAnsi="宋体" w:hint="eastAsia"/>
          <w:b/>
          <w:sz w:val="28"/>
          <w:szCs w:val="28"/>
        </w:rPr>
        <w:t>过程</w:t>
      </w:r>
      <w:bookmarkEnd w:id="16"/>
    </w:p>
    <w:p w14:paraId="27355C7C"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（1）2025年7月，项目组向深圳市生态环境局提交《深圳市共享单车骑行碳普惠方法学（试行）》修订申请并启动修订工作。</w:t>
      </w:r>
    </w:p>
    <w:p w14:paraId="4529CD53"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（2）2025年8月，开展问卷调查，重新设置基准线情景各出行方式权重比例，对测算模型进行优化。</w:t>
      </w:r>
    </w:p>
    <w:p w14:paraId="6FB6BF8B"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（3）2025年10月，形成《深圳市共享单车骑行碳普惠方法学（修订草案稿）》。</w:t>
      </w:r>
    </w:p>
    <w:p w14:paraId="50DF21E5"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（4）2025年10月，形成《深圳市共享单车骑行碳普惠方法学</w:t>
      </w:r>
      <w:r>
        <w:rPr>
          <w:rFonts w:ascii="宋体" w:hAnsi="宋体" w:hint="eastAsia"/>
          <w:sz w:val="28"/>
          <w:szCs w:val="28"/>
        </w:rPr>
        <w:lastRenderedPageBreak/>
        <w:t>（征求意见稿）》。</w:t>
      </w:r>
    </w:p>
    <w:p w14:paraId="1B242556" w14:textId="77777777" w:rsidR="0091722D" w:rsidRDefault="00000000">
      <w:pPr>
        <w:pStyle w:val="1"/>
        <w:numPr>
          <w:ilvl w:val="0"/>
          <w:numId w:val="7"/>
        </w:numPr>
        <w:spacing w:before="0" w:after="0" w:line="360" w:lineRule="auto"/>
        <w:ind w:left="0" w:firstLineChars="200" w:firstLine="602"/>
        <w:jc w:val="left"/>
        <w:rPr>
          <w:sz w:val="30"/>
        </w:rPr>
      </w:pPr>
      <w:bookmarkStart w:id="17" w:name="_Toc26362"/>
      <w:bookmarkStart w:id="18" w:name="_Toc22172"/>
      <w:r>
        <w:rPr>
          <w:rFonts w:hint="eastAsia"/>
          <w:sz w:val="30"/>
        </w:rPr>
        <w:t>主要内容</w:t>
      </w:r>
      <w:bookmarkEnd w:id="17"/>
      <w:bookmarkEnd w:id="18"/>
    </w:p>
    <w:p w14:paraId="54B9113C" w14:textId="77777777" w:rsidR="0091722D" w:rsidRDefault="00000000">
      <w:pPr>
        <w:spacing w:line="360" w:lineRule="auto"/>
        <w:ind w:firstLineChars="200" w:firstLine="562"/>
        <w:jc w:val="left"/>
        <w:outlineLvl w:val="1"/>
        <w:rPr>
          <w:rFonts w:ascii="宋体" w:hAnsi="宋体" w:hint="eastAsia"/>
          <w:b/>
          <w:sz w:val="28"/>
          <w:szCs w:val="28"/>
        </w:rPr>
      </w:pPr>
      <w:bookmarkStart w:id="19" w:name="_Toc26704"/>
      <w:bookmarkEnd w:id="12"/>
      <w:r>
        <w:rPr>
          <w:rFonts w:ascii="宋体" w:hAnsi="宋体"/>
          <w:b/>
          <w:sz w:val="28"/>
          <w:szCs w:val="28"/>
        </w:rPr>
        <w:t xml:space="preserve">1. </w:t>
      </w:r>
      <w:r>
        <w:rPr>
          <w:rFonts w:ascii="宋体" w:hAnsi="宋体" w:hint="eastAsia"/>
          <w:b/>
          <w:sz w:val="28"/>
          <w:szCs w:val="28"/>
        </w:rPr>
        <w:t>方法学内容说明</w:t>
      </w:r>
      <w:bookmarkEnd w:id="19"/>
    </w:p>
    <w:p w14:paraId="5AD6FF17"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本方法学共有十二个章节，具体包括：</w:t>
      </w:r>
    </w:p>
    <w:p w14:paraId="0504FC76"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（1）范围</w:t>
      </w:r>
    </w:p>
    <w:p w14:paraId="2B55EBF2"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明确方法学的适用范围。本方法学主要适用于核算个人在深圳行政区域内使用共享单车出行所产生的减排量。</w:t>
      </w:r>
    </w:p>
    <w:p w14:paraId="1A497BC8"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（2）规范性引用文件</w:t>
      </w:r>
    </w:p>
    <w:p w14:paraId="101E6B78"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列明本方法学引用的相关制度文件。CDM-EB Tool18 城市客运交通模式转换基准线排放计算工具(第一版)、GB/T 32852.1-2016 城市客运术语 第1部分：通用术语、广东省市县（区）温室气体清单编制指南（试行）、深圳市低碳公共出行碳普惠方法学（试行）。删除已废止的CM-032-V01“快速公交系统”和CM-028-V01“快速公交项目”，以及未在正文中引用的GA802-2019道路交通管理机动车类型。</w:t>
      </w:r>
    </w:p>
    <w:p w14:paraId="7A0D9CD4"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（3）术语和定义</w:t>
      </w:r>
    </w:p>
    <w:p w14:paraId="774660BB"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对本方法学出现的相关名词进行解释。</w:t>
      </w:r>
    </w:p>
    <w:p w14:paraId="61F9DF8A"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（4）适用条件</w:t>
      </w:r>
    </w:p>
    <w:p w14:paraId="4A01A9D8"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对本方法学的适用条件进行明确。本方法学适用于深圳碳普惠体系下，碳普惠应用程序为其注册用户在深圳市内采用共享单车出行产生减排量的核算。将计入期自2022年1月1日起计算，修订为以注册用户与程序运营机构达成授权委托协议数据可被采集之日起开始，且不得早于2022年8月18日。同时聚合平台和第三方支付平台运营机构除外，如有共享单车运营机构</w:t>
      </w:r>
      <w:proofErr w:type="gramStart"/>
      <w:r>
        <w:rPr>
          <w:rFonts w:ascii="宋体" w:hAnsi="宋体" w:hint="eastAsia"/>
          <w:sz w:val="28"/>
          <w:szCs w:val="28"/>
        </w:rPr>
        <w:t>兼具双</w:t>
      </w:r>
      <w:proofErr w:type="gramEnd"/>
      <w:r>
        <w:rPr>
          <w:rFonts w:ascii="宋体" w:hAnsi="宋体" w:hint="eastAsia"/>
          <w:sz w:val="28"/>
          <w:szCs w:val="28"/>
        </w:rPr>
        <w:t>属性的情况，则需单独</w:t>
      </w:r>
      <w:proofErr w:type="gramStart"/>
      <w:r>
        <w:rPr>
          <w:rFonts w:ascii="宋体" w:hAnsi="宋体" w:hint="eastAsia"/>
          <w:sz w:val="28"/>
          <w:szCs w:val="28"/>
        </w:rPr>
        <w:t>区分自</w:t>
      </w:r>
      <w:proofErr w:type="gramEnd"/>
      <w:r>
        <w:rPr>
          <w:rFonts w:ascii="宋体" w:hAnsi="宋体" w:hint="eastAsia"/>
          <w:sz w:val="28"/>
          <w:szCs w:val="28"/>
        </w:rPr>
        <w:t>有与聚合订单，仅计算自有业务订单。</w:t>
      </w:r>
    </w:p>
    <w:p w14:paraId="3CDD8ED9"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lastRenderedPageBreak/>
        <w:t>（5）额外性论述</w:t>
      </w:r>
    </w:p>
    <w:p w14:paraId="1ABDEA55"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明确本方法学所核算的绿色低碳行为符合额外性的论述。</w:t>
      </w:r>
    </w:p>
    <w:p w14:paraId="02D38E02"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深圳碳普惠体系旨在推动社会公众更多地选择采用共享单车出行等绿色出行方式，且注册用户是以自主自愿、主动参与的方式参与该项目，授权碳普惠应用程序的登记实现数据记录，将有利于促进公众骑行共享单车的意愿，从而减少公众由交通领域出行产生的碳排放量。此外，注册用户通过骑行共享单车</w:t>
      </w:r>
      <w:proofErr w:type="gramStart"/>
      <w:r>
        <w:rPr>
          <w:rFonts w:ascii="宋体" w:hAnsi="宋体" w:hint="eastAsia"/>
          <w:sz w:val="28"/>
          <w:szCs w:val="28"/>
        </w:rPr>
        <w:t>的零碳出行</w:t>
      </w:r>
      <w:proofErr w:type="gramEnd"/>
      <w:r>
        <w:rPr>
          <w:rFonts w:ascii="宋体" w:hAnsi="宋体" w:hint="eastAsia"/>
          <w:sz w:val="28"/>
          <w:szCs w:val="28"/>
        </w:rPr>
        <w:t>方式替代私人小汽车、出租车、</w:t>
      </w:r>
      <w:proofErr w:type="gramStart"/>
      <w:r>
        <w:rPr>
          <w:rFonts w:ascii="宋体" w:hAnsi="宋体" w:hint="eastAsia"/>
          <w:sz w:val="28"/>
          <w:szCs w:val="28"/>
        </w:rPr>
        <w:t>网约车等</w:t>
      </w:r>
      <w:proofErr w:type="gramEnd"/>
      <w:r>
        <w:rPr>
          <w:rFonts w:ascii="宋体" w:hAnsi="宋体" w:hint="eastAsia"/>
          <w:sz w:val="28"/>
          <w:szCs w:val="28"/>
        </w:rPr>
        <w:t>存在温室气体排放的城市交通出行方式，其中采用骑行共享单车的出行方式相对于基准线情景是额外的，且采用共享单车骑行的排放量为0，远远小于基准线情景的排放量。因此，综上符合额外性的论述。</w:t>
      </w:r>
    </w:p>
    <w:p w14:paraId="08FB8F03"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（6）避免减排量重复申报的措施</w:t>
      </w:r>
    </w:p>
    <w:p w14:paraId="35AA26FB"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对方法学如何能够避免出现减排量重复申报的现象进行解释论述。减排量计算所需的原始数据通过碳普惠应用程序运营机构记录收集，注册用户将以实名认证、一人一号的方式授权碳普惠应用程序运营机构进行数据记录，可有效避免同一行为的重复记录所导致的减排量重复申报。</w:t>
      </w:r>
    </w:p>
    <w:p w14:paraId="5BA64131"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碳普惠应用程序运营机构向市生态环境主管部门申报核证减排量的，应当承诺不重复申报国内外温室气体自愿减排机制、绿色电力交易和绿色电力证书项目，并提交深圳市碳普惠项目申报表、减排量申报表及不重复申报声明书。</w:t>
      </w:r>
    </w:p>
    <w:p w14:paraId="141FD370"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（7）核算边界的确定</w:t>
      </w:r>
    </w:p>
    <w:p w14:paraId="23FF32FA"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明确项目的核算边界，包括核算的空间范围及温室气体种类。依据深圳市温室气体清单数据，深圳市私人小汽车、出租汽车、网约车、公交车、地铁和共享单车的总排放中CH</w:t>
      </w:r>
      <w:r>
        <w:rPr>
          <w:rFonts w:ascii="宋体" w:hAnsi="宋体" w:hint="eastAsia"/>
          <w:sz w:val="28"/>
          <w:szCs w:val="28"/>
          <w:vertAlign w:val="subscript"/>
        </w:rPr>
        <w:t>4</w:t>
      </w:r>
      <w:r>
        <w:rPr>
          <w:rFonts w:ascii="宋体" w:hAnsi="宋体" w:hint="eastAsia"/>
          <w:sz w:val="28"/>
          <w:szCs w:val="28"/>
        </w:rPr>
        <w:t>排放约占1.06‰、N</w:t>
      </w:r>
      <w:r>
        <w:rPr>
          <w:rFonts w:ascii="宋体" w:hAnsi="宋体" w:hint="eastAsia"/>
          <w:sz w:val="28"/>
          <w:szCs w:val="28"/>
          <w:vertAlign w:val="subscript"/>
        </w:rPr>
        <w:t>2</w:t>
      </w:r>
      <w:r>
        <w:rPr>
          <w:rFonts w:ascii="宋体" w:hAnsi="宋体" w:hint="eastAsia"/>
          <w:sz w:val="28"/>
          <w:szCs w:val="28"/>
        </w:rPr>
        <w:t>O排放</w:t>
      </w:r>
      <w:r>
        <w:rPr>
          <w:rFonts w:ascii="宋体" w:hAnsi="宋体" w:hint="eastAsia"/>
          <w:sz w:val="28"/>
          <w:szCs w:val="28"/>
        </w:rPr>
        <w:lastRenderedPageBreak/>
        <w:t>占比约为1%，合计排放量约为2%，因此忽略不计，本方法学仅核算二氧化碳排放。</w:t>
      </w:r>
    </w:p>
    <w:p w14:paraId="105358A5"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（8）基准线情景的确定</w:t>
      </w:r>
    </w:p>
    <w:p w14:paraId="687C71C7"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阐释本方法学的基准线情景包含的所有交通出行方式。</w:t>
      </w:r>
    </w:p>
    <w:p w14:paraId="0925D635"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中，基准线情景考虑注册用户在不使用共享单车的情况下，乘坐私人小汽车、出租汽车、网约车、公交车、地铁、私人电动自行车、私人自行车和步行的出行方式所产生的排放量。此外，本项目通过均值法的计算，无法避免使用共享单车出行的公众自动获取减排量。依据以上两点原因，明确了不再采用均值法进行本项目的研究，只通过替代法进行计算。</w:t>
      </w:r>
    </w:p>
    <w:p w14:paraId="0B976CD9" w14:textId="77777777" w:rsidR="0091722D" w:rsidRDefault="00000000">
      <w:pPr>
        <w:keepNext/>
        <w:widowControl/>
        <w:adjustRightInd w:val="0"/>
        <w:snapToGrid w:val="0"/>
        <w:spacing w:line="360" w:lineRule="auto"/>
        <w:ind w:firstLineChars="200" w:firstLine="562"/>
        <w:outlineLvl w:val="2"/>
        <w:rPr>
          <w:rFonts w:ascii="宋体" w:hAnsi="宋体" w:hint="eastAsia"/>
          <w:sz w:val="28"/>
          <w:szCs w:val="28"/>
        </w:rPr>
      </w:pPr>
      <w:r>
        <w:rPr>
          <w:rFonts w:ascii="宋体" w:hAnsi="宋体" w:hint="eastAsia"/>
          <w:b/>
          <w:bCs/>
          <w:sz w:val="28"/>
          <w:szCs w:val="28"/>
        </w:rPr>
        <w:t>（9）项目情景</w:t>
      </w:r>
    </w:p>
    <w:p w14:paraId="4B378025"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阐释本方法学的项目情景包含的交通出行方式。</w:t>
      </w:r>
    </w:p>
    <w:p w14:paraId="2B3BF7F0"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项目情景为注册用户骑行共享单车的出行情景。</w:t>
      </w:r>
    </w:p>
    <w:p w14:paraId="36A38CA0"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b/>
          <w:bCs/>
          <w:sz w:val="28"/>
          <w:szCs w:val="28"/>
        </w:rPr>
        <w:t>（10）减排量</w:t>
      </w:r>
    </w:p>
    <w:p w14:paraId="3B56B92E"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阐述基准线情景、项目</w:t>
      </w:r>
      <w:proofErr w:type="gramStart"/>
      <w:r>
        <w:rPr>
          <w:rFonts w:ascii="宋体" w:hAnsi="宋体" w:hint="eastAsia"/>
          <w:sz w:val="28"/>
          <w:szCs w:val="28"/>
        </w:rPr>
        <w:t>情景下碳排放</w:t>
      </w:r>
      <w:proofErr w:type="gramEnd"/>
      <w:r>
        <w:rPr>
          <w:rFonts w:ascii="宋体" w:hAnsi="宋体" w:hint="eastAsia"/>
          <w:sz w:val="28"/>
          <w:szCs w:val="28"/>
        </w:rPr>
        <w:t>因子以及碳普惠减排量的计算方法。</w:t>
      </w:r>
    </w:p>
    <w:p w14:paraId="090AF880" w14:textId="77777777" w:rsidR="0091722D" w:rsidRDefault="00000000">
      <w:pPr>
        <w:adjustRightInd w:val="0"/>
        <w:snapToGrid w:val="0"/>
        <w:spacing w:line="360" w:lineRule="auto"/>
        <w:jc w:val="center"/>
        <w:rPr>
          <w:rFonts w:ascii="宋体" w:hAnsi="宋体" w:hint="eastAsia"/>
          <w:sz w:val="28"/>
          <w:szCs w:val="28"/>
        </w:rPr>
      </w:pPr>
      <w:r>
        <w:rPr>
          <w:rFonts w:ascii="黑体" w:eastAsia="黑体" w:hAnsi="黑体"/>
          <w:noProof/>
        </w:rPr>
        <w:drawing>
          <wp:inline distT="0" distB="0" distL="0" distR="0" wp14:anchorId="70C8ECD8" wp14:editId="67330025">
            <wp:extent cx="4131945" cy="2026920"/>
            <wp:effectExtent l="0" t="0" r="1905" b="0"/>
            <wp:docPr id="3" name="图片 2"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形用户界面&#10;&#10;低可信度描述已自动生成"/>
                    <pic:cNvPicPr>
                      <a:picLocks noChangeAspect="1"/>
                    </pic:cNvPicPr>
                  </pic:nvPicPr>
                  <pic:blipFill>
                    <a:blip r:embed="rId13"/>
                    <a:stretch>
                      <a:fillRect/>
                    </a:stretch>
                  </pic:blipFill>
                  <pic:spPr>
                    <a:xfrm>
                      <a:off x="0" y="0"/>
                      <a:ext cx="4131945" cy="2026920"/>
                    </a:xfrm>
                    <a:prstGeom prst="rect">
                      <a:avLst/>
                    </a:prstGeom>
                  </pic:spPr>
                </pic:pic>
              </a:graphicData>
            </a:graphic>
          </wp:inline>
        </w:drawing>
      </w:r>
    </w:p>
    <w:p w14:paraId="04EBF15D" w14:textId="77777777" w:rsidR="0091722D" w:rsidRDefault="00000000">
      <w:pPr>
        <w:adjustRightInd w:val="0"/>
        <w:snapToGrid w:val="0"/>
        <w:spacing w:line="360" w:lineRule="auto"/>
        <w:jc w:val="center"/>
        <w:rPr>
          <w:rFonts w:ascii="黑体" w:eastAsia="黑体" w:hAnsi="黑体" w:hint="eastAsia"/>
          <w:sz w:val="28"/>
          <w:szCs w:val="28"/>
        </w:rPr>
      </w:pPr>
      <w:r>
        <w:rPr>
          <w:rFonts w:ascii="黑体" w:eastAsia="黑体" w:hAnsi="黑体" w:hint="eastAsia"/>
          <w:sz w:val="24"/>
          <w:szCs w:val="24"/>
        </w:rPr>
        <w:t>图1 排放</w:t>
      </w:r>
      <w:proofErr w:type="gramStart"/>
      <w:r>
        <w:rPr>
          <w:rFonts w:ascii="黑体" w:eastAsia="黑体" w:hAnsi="黑体" w:hint="eastAsia"/>
          <w:sz w:val="24"/>
          <w:szCs w:val="24"/>
        </w:rPr>
        <w:t>因子及碳普惠</w:t>
      </w:r>
      <w:proofErr w:type="gramEnd"/>
      <w:r>
        <w:rPr>
          <w:rFonts w:ascii="黑体" w:eastAsia="黑体" w:hAnsi="黑体" w:hint="eastAsia"/>
          <w:sz w:val="24"/>
          <w:szCs w:val="24"/>
        </w:rPr>
        <w:t>减排量计算思路</w:t>
      </w:r>
    </w:p>
    <w:p w14:paraId="6A972C5D" w14:textId="729638CE"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第一，基准线情景人公里排放因子计算。基准线排放因子为计算</w:t>
      </w:r>
      <w:r>
        <w:rPr>
          <w:rFonts w:ascii="宋体" w:hAnsi="宋体" w:hint="eastAsia"/>
          <w:sz w:val="28"/>
          <w:szCs w:val="28"/>
        </w:rPr>
        <w:lastRenderedPageBreak/>
        <w:t>共享单车可替代的基线情景下私人小汽车、出租汽车、网约车、公交车、地铁、私人电动自行车、私人自行车、步行8种交通方式出行的人公里排放因子，并增加了对于公交、地铁场站附属设施的碳排放，</w:t>
      </w:r>
      <w:r w:rsidR="005147EC">
        <w:rPr>
          <w:rFonts w:ascii="宋体" w:hAnsi="宋体" w:hint="eastAsia"/>
          <w:sz w:val="28"/>
          <w:szCs w:val="28"/>
        </w:rPr>
        <w:t>通过问卷调查收集</w:t>
      </w:r>
      <w:r>
        <w:rPr>
          <w:rFonts w:ascii="宋体" w:hAnsi="宋体" w:hint="eastAsia"/>
          <w:sz w:val="28"/>
          <w:szCs w:val="28"/>
        </w:rPr>
        <w:t>各交通方式的出行比例进行加权平均。</w:t>
      </w:r>
    </w:p>
    <w:p w14:paraId="448DD2BD"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规定了基准线情景下各交通工具的人公里排放因子取为申请减排量当年的前两年的各交通工具的运营数据作为排放因子，例如申请2024年减排量，基准线情景下排放因子为各交通工具2022年运营数据的人公里排放因子。</w:t>
      </w:r>
    </w:p>
    <w:p w14:paraId="1361EB36"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二，项目情景人公里排放因子计算。项目情景为注册用户骑行共享单车的每人每公里碳排放量，由于本项目范围内共享单车均为非电动的，不消耗化石燃料及电力等能源，因此项目情景的人公里排放因子数值为0。共享单车调度所产生的碳排放量纳入项目情景的情况下，其碳排放量亦不足基准线情景的1%，因此本项目中共享单车调度所产生的碳排放忽略不计。其中关于泄漏的说明是由于个人参与项目活动时，在同一空间、时间内只能选择一种交通工具，因此本方法学免于考虑泄漏。</w:t>
      </w:r>
    </w:p>
    <w:p w14:paraId="2E893FE6"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第三，碳普惠减排量计算。碳普惠减排量为项目情景较基准线情景减少的碳排放，共享单车减排量=（基准线排放因子-共享单车项目减排因子）×注册用户出行距离，并根据项目期情况进行数据汇总。</w:t>
      </w:r>
    </w:p>
    <w:p w14:paraId="626526C1" w14:textId="77777777" w:rsidR="0091722D"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（11）数据来源与监测</w:t>
      </w:r>
    </w:p>
    <w:p w14:paraId="5D8CAFE6"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确定方法学的更新周期，阐述说明减排量核算的数据来源。</w:t>
      </w:r>
    </w:p>
    <w:p w14:paraId="7944F912"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第一，结合当前国家</w:t>
      </w:r>
      <w:proofErr w:type="gramStart"/>
      <w:r>
        <w:rPr>
          <w:rFonts w:ascii="宋体" w:hAnsi="宋体" w:hint="eastAsia"/>
          <w:sz w:val="28"/>
          <w:szCs w:val="28"/>
        </w:rPr>
        <w:t>碳达峰碳</w:t>
      </w:r>
      <w:proofErr w:type="gramEnd"/>
      <w:r>
        <w:rPr>
          <w:rFonts w:ascii="宋体" w:hAnsi="宋体" w:hint="eastAsia"/>
          <w:sz w:val="28"/>
          <w:szCs w:val="28"/>
        </w:rPr>
        <w:t>中和战略的背景，考虑深圳市交通领域技术更新，本项目参数调整频率以主管部门发布时间为准。</w:t>
      </w:r>
    </w:p>
    <w:p w14:paraId="661424AB"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第二，对监测数据和缺省数据的程序和要求进行说明。</w:t>
      </w:r>
    </w:p>
    <w:p w14:paraId="2DCF9B26" w14:textId="77777777" w:rsidR="0091722D" w:rsidRDefault="00000000">
      <w:pPr>
        <w:keepNext/>
        <w:keepLines/>
        <w:adjustRightInd w:val="0"/>
        <w:snapToGrid w:val="0"/>
        <w:spacing w:line="360" w:lineRule="auto"/>
        <w:ind w:firstLineChars="200" w:firstLine="562"/>
        <w:outlineLvl w:val="2"/>
        <w:rPr>
          <w:rFonts w:ascii="宋体" w:hAnsi="宋体" w:hint="eastAsia"/>
          <w:b/>
          <w:bCs/>
          <w:sz w:val="28"/>
          <w:szCs w:val="28"/>
        </w:rPr>
      </w:pPr>
      <w:r>
        <w:rPr>
          <w:rFonts w:ascii="宋体" w:hAnsi="宋体"/>
          <w:b/>
          <w:bCs/>
          <w:sz w:val="28"/>
          <w:szCs w:val="28"/>
        </w:rPr>
        <w:lastRenderedPageBreak/>
        <w:t>（12）核证要点及方法</w:t>
      </w:r>
    </w:p>
    <w:p w14:paraId="107FD148"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本方法学中，监测数据主要为注册用户共享单车骑行次数和距离，主要通过后台程序数据记录获得，其余数据为缺省数据。</w:t>
      </w:r>
    </w:p>
    <w:p w14:paraId="128C6DC8" w14:textId="77777777" w:rsidR="0091722D" w:rsidRDefault="00000000">
      <w:pPr>
        <w:spacing w:line="360" w:lineRule="auto"/>
        <w:ind w:firstLineChars="200" w:firstLine="562"/>
        <w:outlineLvl w:val="1"/>
        <w:rPr>
          <w:rFonts w:ascii="宋体" w:hAnsi="宋体" w:hint="eastAsia"/>
          <w:b/>
          <w:sz w:val="28"/>
          <w:szCs w:val="28"/>
        </w:rPr>
      </w:pPr>
      <w:bookmarkStart w:id="20" w:name="_Toc88473804"/>
      <w:bookmarkStart w:id="21" w:name="_Toc10617"/>
      <w:r>
        <w:rPr>
          <w:rFonts w:ascii="宋体" w:hAnsi="宋体"/>
          <w:b/>
          <w:sz w:val="28"/>
          <w:szCs w:val="28"/>
        </w:rPr>
        <w:t xml:space="preserve">2. </w:t>
      </w:r>
      <w:r>
        <w:rPr>
          <w:rFonts w:ascii="宋体" w:hAnsi="宋体" w:hint="eastAsia"/>
          <w:b/>
          <w:sz w:val="28"/>
          <w:szCs w:val="28"/>
        </w:rPr>
        <w:t>技术指标说明</w:t>
      </w:r>
      <w:bookmarkStart w:id="22" w:name="_Toc88473805"/>
      <w:bookmarkEnd w:id="20"/>
      <w:bookmarkEnd w:id="21"/>
    </w:p>
    <w:p w14:paraId="305C5518"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（说明主要技术指标的选取、数据采集方法的设定考虑。）</w:t>
      </w:r>
    </w:p>
    <w:bookmarkEnd w:id="22"/>
    <w:p w14:paraId="61393F7A"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（1）监测数据说明</w:t>
      </w:r>
    </w:p>
    <w:p w14:paraId="6C450947"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本方法学需要监测的数据主要包括注册用户在项目情景下共享单车骑行的次数和距离。</w:t>
      </w:r>
    </w:p>
    <w:p w14:paraId="2F81E074"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（2）缺省数据说明</w:t>
      </w:r>
    </w:p>
    <w:p w14:paraId="248C9F21"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基于《深圳市低碳公共出行碳普惠方法学》的基础，对设定基准线情景前的部分参数值进行统计和计算。</w:t>
      </w:r>
    </w:p>
    <w:p w14:paraId="41C1786D"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基准线情景排放因子计算公式如下：</w:t>
      </w:r>
    </w:p>
    <w:p w14:paraId="3635B35B" w14:textId="77777777" w:rsidR="0091722D" w:rsidRDefault="00000000">
      <w:pPr>
        <w:adjustRightInd w:val="0"/>
        <w:snapToGrid w:val="0"/>
        <w:spacing w:line="360" w:lineRule="auto"/>
        <w:ind w:firstLineChars="200" w:firstLine="480"/>
        <w:rPr>
          <w:rFonts w:ascii="宋体" w:hAnsi="宋体" w:hint="eastAsia"/>
          <w:sz w:val="24"/>
          <w:szCs w:val="24"/>
        </w:rPr>
      </w:pPr>
      <m:oMathPara>
        <m:oMath>
          <m:sSub>
            <m:sSubPr>
              <m:ctrlPr>
                <w:rPr>
                  <w:rFonts w:ascii="Cambria Math" w:eastAsiaTheme="majorEastAsia" w:hAnsi="Cambria Math" w:cstheme="minorBidi"/>
                  <w:i/>
                  <w:sz w:val="24"/>
                  <w:szCs w:val="24"/>
                </w:rPr>
              </m:ctrlPr>
            </m:sSubPr>
            <m:e>
              <m:r>
                <w:rPr>
                  <w:rFonts w:ascii="Cambria Math" w:eastAsiaTheme="majorEastAsia" w:hAnsi="Cambria Math"/>
                  <w:sz w:val="24"/>
                  <w:szCs w:val="24"/>
                </w:rPr>
                <m:t>E</m:t>
              </m:r>
            </m:e>
            <m:sub>
              <m:r>
                <w:rPr>
                  <w:rFonts w:ascii="Cambria Math" w:eastAsiaTheme="majorEastAsia" w:hAnsi="Cambria Math"/>
                  <w:sz w:val="24"/>
                  <w:szCs w:val="24"/>
                </w:rPr>
                <m:t>b</m:t>
              </m:r>
            </m:sub>
          </m:sSub>
          <m:r>
            <w:rPr>
              <w:rFonts w:ascii="Cambria Math" w:eastAsiaTheme="majorEastAsia" w:hAnsi="Cambria Math"/>
              <w:sz w:val="24"/>
              <w:szCs w:val="24"/>
            </w:rPr>
            <m:t>=</m:t>
          </m:r>
          <m:nary>
            <m:naryPr>
              <m:chr m:val="∑"/>
              <m:limLoc m:val="undOvr"/>
              <m:supHide m:val="1"/>
              <m:ctrlPr>
                <w:rPr>
                  <w:rFonts w:ascii="Cambria Math" w:eastAsiaTheme="majorEastAsia" w:hAnsi="Cambria Math"/>
                  <w:i/>
                  <w:sz w:val="24"/>
                  <w:szCs w:val="24"/>
                </w:rPr>
              </m:ctrlPr>
            </m:naryPr>
            <m:sub>
              <m:r>
                <w:rPr>
                  <w:rFonts w:ascii="Cambria Math" w:eastAsiaTheme="majorEastAsia" w:hAnsi="Cambria Math"/>
                  <w:sz w:val="24"/>
                  <w:szCs w:val="24"/>
                </w:rPr>
                <m:t>i</m:t>
              </m:r>
            </m:sub>
            <m:sup/>
            <m:e>
              <m:sSub>
                <m:sSubPr>
                  <m:ctrlPr>
                    <w:rPr>
                      <w:rFonts w:ascii="Cambria Math" w:eastAsiaTheme="majorEastAsia" w:hAnsi="Cambria Math"/>
                      <w:i/>
                      <w:sz w:val="24"/>
                      <w:szCs w:val="24"/>
                    </w:rPr>
                  </m:ctrlPr>
                </m:sSubPr>
                <m:e>
                  <m:r>
                    <w:rPr>
                      <w:rFonts w:ascii="Cambria Math" w:eastAsiaTheme="majorEastAsia" w:hAnsi="Cambria Math"/>
                      <w:sz w:val="24"/>
                      <w:szCs w:val="24"/>
                    </w:rPr>
                    <m:t>E</m:t>
                  </m:r>
                </m:e>
                <m:sub>
                  <m:r>
                    <w:rPr>
                      <w:rFonts w:ascii="Cambria Math" w:eastAsiaTheme="majorEastAsia" w:hAnsi="Cambria Math"/>
                      <w:sz w:val="24"/>
                      <w:szCs w:val="24"/>
                    </w:rPr>
                    <m:t>b,ti</m:t>
                  </m:r>
                </m:sub>
              </m:sSub>
            </m:e>
          </m:nary>
          <m:r>
            <w:rPr>
              <w:rFonts w:ascii="Cambria Math" w:eastAsiaTheme="majorEastAsia" w:hAnsi="Cambria Math"/>
              <w:sz w:val="24"/>
              <w:szCs w:val="24"/>
            </w:rPr>
            <m:t>×</m:t>
          </m:r>
          <m:sSub>
            <m:sSubPr>
              <m:ctrlPr>
                <w:rPr>
                  <w:rFonts w:ascii="Cambria Math" w:eastAsiaTheme="majorEastAsia" w:hAnsi="Cambria Math"/>
                  <w:i/>
                  <w:sz w:val="24"/>
                  <w:szCs w:val="24"/>
                </w:rPr>
              </m:ctrlPr>
            </m:sSubPr>
            <m:e>
              <m:r>
                <w:rPr>
                  <w:rFonts w:ascii="Cambria Math" w:eastAsiaTheme="majorEastAsia" w:hAnsi="Cambria Math"/>
                  <w:sz w:val="24"/>
                  <w:szCs w:val="24"/>
                </w:rPr>
                <m:t>O</m:t>
              </m:r>
            </m:e>
            <m:sub>
              <m:r>
                <w:rPr>
                  <w:rFonts w:ascii="Cambria Math" w:eastAsiaTheme="majorEastAsia" w:hAnsi="Cambria Math"/>
                  <w:sz w:val="24"/>
                  <w:szCs w:val="24"/>
                </w:rPr>
                <m:t>ti</m:t>
              </m:r>
            </m:sub>
          </m:sSub>
        </m:oMath>
      </m:oMathPara>
    </w:p>
    <w:p w14:paraId="452E8805"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式中：</w:t>
      </w:r>
    </w:p>
    <w:p w14:paraId="2524F91E"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t为基准线情景交通工具类型,包括私人小汽车（t1）、出租汽车（t2）、网约车（t3)、公交车（t4）、地铁（t5）、私人电动自行车（t6）、私人自行车（t7）、步行（t8）；</w:t>
      </w:r>
    </w:p>
    <w:p w14:paraId="1675AA73"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E</w:t>
      </w:r>
      <w:r>
        <w:rPr>
          <w:rFonts w:ascii="宋体" w:hAnsi="宋体" w:hint="eastAsia"/>
          <w:sz w:val="28"/>
          <w:szCs w:val="28"/>
          <w:vertAlign w:val="subscript"/>
        </w:rPr>
        <w:t>b</w:t>
      </w:r>
      <w:r>
        <w:rPr>
          <w:rFonts w:ascii="宋体" w:hAnsi="宋体" w:hint="eastAsia"/>
          <w:sz w:val="28"/>
          <w:szCs w:val="28"/>
        </w:rPr>
        <w:t>为基准线情景采用交通工具出行的人公里排放因子（kgCO</w:t>
      </w:r>
      <w:r>
        <w:rPr>
          <w:rFonts w:ascii="宋体" w:hAnsi="宋体" w:hint="eastAsia"/>
          <w:sz w:val="28"/>
          <w:szCs w:val="28"/>
          <w:vertAlign w:val="subscript"/>
        </w:rPr>
        <w:t>2</w:t>
      </w:r>
      <w:r>
        <w:rPr>
          <w:rFonts w:ascii="宋体" w:hAnsi="宋体" w:hint="eastAsia"/>
          <w:sz w:val="28"/>
          <w:szCs w:val="28"/>
        </w:rPr>
        <w:t>/</w:t>
      </w:r>
      <w:proofErr w:type="spellStart"/>
      <w:r>
        <w:rPr>
          <w:rFonts w:ascii="宋体" w:hAnsi="宋体" w:hint="eastAsia"/>
          <w:sz w:val="28"/>
          <w:szCs w:val="28"/>
        </w:rPr>
        <w:t>pkm</w:t>
      </w:r>
      <w:proofErr w:type="spellEnd"/>
      <w:r>
        <w:rPr>
          <w:rFonts w:ascii="宋体" w:hAnsi="宋体" w:hint="eastAsia"/>
          <w:sz w:val="28"/>
          <w:szCs w:val="28"/>
        </w:rPr>
        <w:t>）；</w:t>
      </w:r>
    </w:p>
    <w:p w14:paraId="3B18BA3F" w14:textId="77777777" w:rsidR="0091722D" w:rsidRDefault="00000000">
      <w:pPr>
        <w:adjustRightInd w:val="0"/>
        <w:snapToGrid w:val="0"/>
        <w:spacing w:line="360" w:lineRule="auto"/>
        <w:ind w:firstLineChars="200" w:firstLine="560"/>
        <w:rPr>
          <w:rFonts w:ascii="宋体" w:hAnsi="宋体" w:hint="eastAsia"/>
          <w:sz w:val="28"/>
          <w:szCs w:val="28"/>
        </w:rPr>
      </w:pPr>
      <w:proofErr w:type="spellStart"/>
      <w:r>
        <w:rPr>
          <w:rFonts w:ascii="宋体" w:hAnsi="宋体" w:hint="eastAsia"/>
          <w:sz w:val="28"/>
          <w:szCs w:val="28"/>
        </w:rPr>
        <w:t>E</w:t>
      </w:r>
      <w:r>
        <w:rPr>
          <w:rFonts w:ascii="宋体" w:hAnsi="宋体" w:hint="eastAsia"/>
          <w:sz w:val="28"/>
          <w:szCs w:val="28"/>
          <w:vertAlign w:val="subscript"/>
        </w:rPr>
        <w:t>b,ti</w:t>
      </w:r>
      <w:proofErr w:type="spellEnd"/>
      <w:r>
        <w:rPr>
          <w:rFonts w:ascii="宋体" w:hAnsi="宋体" w:hint="eastAsia"/>
          <w:sz w:val="28"/>
          <w:szCs w:val="28"/>
        </w:rPr>
        <w:t>为基准线情景采用交通工具</w:t>
      </w:r>
      <w:proofErr w:type="spellStart"/>
      <w:r>
        <w:rPr>
          <w:rFonts w:ascii="宋体" w:hAnsi="宋体" w:hint="eastAsia"/>
          <w:sz w:val="28"/>
          <w:szCs w:val="28"/>
        </w:rPr>
        <w:t>ti</w:t>
      </w:r>
      <w:proofErr w:type="spellEnd"/>
      <w:r>
        <w:rPr>
          <w:rFonts w:ascii="宋体" w:hAnsi="宋体" w:hint="eastAsia"/>
          <w:sz w:val="28"/>
          <w:szCs w:val="28"/>
        </w:rPr>
        <w:t>出行的人公里排放因子（kgCO</w:t>
      </w:r>
      <w:r>
        <w:rPr>
          <w:rFonts w:ascii="宋体" w:hAnsi="宋体" w:hint="eastAsia"/>
          <w:sz w:val="28"/>
          <w:szCs w:val="28"/>
          <w:vertAlign w:val="subscript"/>
        </w:rPr>
        <w:t>2</w:t>
      </w:r>
      <w:r>
        <w:rPr>
          <w:rFonts w:ascii="宋体" w:hAnsi="宋体" w:hint="eastAsia"/>
          <w:sz w:val="28"/>
          <w:szCs w:val="28"/>
        </w:rPr>
        <w:t>/</w:t>
      </w:r>
      <w:proofErr w:type="spellStart"/>
      <w:r>
        <w:rPr>
          <w:rFonts w:ascii="宋体" w:hAnsi="宋体" w:hint="eastAsia"/>
          <w:sz w:val="28"/>
          <w:szCs w:val="28"/>
        </w:rPr>
        <w:t>pkm</w:t>
      </w:r>
      <w:proofErr w:type="spellEnd"/>
      <w:r>
        <w:rPr>
          <w:rFonts w:ascii="宋体" w:hAnsi="宋体" w:hint="eastAsia"/>
          <w:sz w:val="28"/>
          <w:szCs w:val="28"/>
        </w:rPr>
        <w:t>），t7和t8出行方式不产生任何的碳排放，默认为0；</w:t>
      </w:r>
    </w:p>
    <w:p w14:paraId="3EADCCC4"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O</w:t>
      </w:r>
      <w:r>
        <w:rPr>
          <w:rFonts w:ascii="宋体" w:hAnsi="宋体" w:hint="eastAsia"/>
          <w:sz w:val="28"/>
          <w:szCs w:val="28"/>
          <w:vertAlign w:val="subscript"/>
        </w:rPr>
        <w:t>ti</w:t>
      </w:r>
      <w:r>
        <w:rPr>
          <w:rFonts w:ascii="宋体" w:hAnsi="宋体" w:hint="eastAsia"/>
          <w:sz w:val="28"/>
          <w:szCs w:val="28"/>
        </w:rPr>
        <w:t xml:space="preserve"> 为基准情景交通工具</w:t>
      </w:r>
      <w:proofErr w:type="spellStart"/>
      <w:r>
        <w:rPr>
          <w:rFonts w:ascii="宋体" w:hAnsi="宋体" w:hint="eastAsia"/>
          <w:sz w:val="28"/>
          <w:szCs w:val="28"/>
        </w:rPr>
        <w:t>ti</w:t>
      </w:r>
      <w:proofErr w:type="spellEnd"/>
      <w:r>
        <w:rPr>
          <w:rFonts w:ascii="宋体" w:hAnsi="宋体" w:hint="eastAsia"/>
          <w:sz w:val="28"/>
          <w:szCs w:val="28"/>
        </w:rPr>
        <w:t>出行比例。</w:t>
      </w:r>
    </w:p>
    <w:p w14:paraId="2C9558CA"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t1-t6交通工具的出行参数如下：</w:t>
      </w:r>
    </w:p>
    <w:p w14:paraId="787C1233" w14:textId="77777777" w:rsidR="0091722D" w:rsidRDefault="00000000">
      <w:pPr>
        <w:adjustRightInd w:val="0"/>
        <w:snapToGrid w:val="0"/>
        <w:spacing w:line="360" w:lineRule="auto"/>
        <w:ind w:firstLineChars="200" w:firstLine="560"/>
        <w:rPr>
          <w:rFonts w:ascii="宋体" w:hAnsi="宋体" w:hint="eastAsia"/>
          <w:sz w:val="28"/>
          <w:szCs w:val="28"/>
        </w:rPr>
      </w:pPr>
      <w:proofErr w:type="gramStart"/>
      <w:r>
        <w:rPr>
          <w:rFonts w:ascii="宋体" w:hAnsi="宋体" w:hint="eastAsia"/>
          <w:sz w:val="28"/>
          <w:szCs w:val="28"/>
        </w:rPr>
        <w:t>一</w:t>
      </w:r>
      <w:proofErr w:type="gramEnd"/>
      <w:r>
        <w:rPr>
          <w:rFonts w:ascii="宋体" w:hAnsi="宋体" w:hint="eastAsia"/>
          <w:sz w:val="28"/>
          <w:szCs w:val="28"/>
        </w:rPr>
        <w:t>是非公共出行交通工具的各项参数：</w:t>
      </w:r>
    </w:p>
    <w:p w14:paraId="4AD3200B" w14:textId="6C1C67A9" w:rsidR="0091722D" w:rsidRDefault="00000000">
      <w:pPr>
        <w:adjustRightInd w:val="0"/>
        <w:snapToGrid w:val="0"/>
        <w:spacing w:line="360" w:lineRule="auto"/>
        <w:ind w:firstLineChars="200" w:firstLine="560"/>
        <w:rPr>
          <w:rFonts w:ascii="宋体" w:hAnsi="宋体" w:hint="eastAsia"/>
          <w:sz w:val="28"/>
          <w:szCs w:val="28"/>
        </w:rPr>
      </w:pPr>
      <w:proofErr w:type="gramStart"/>
      <w:r>
        <w:rPr>
          <w:rFonts w:ascii="宋体" w:hAnsi="宋体" w:hint="eastAsia"/>
          <w:sz w:val="28"/>
          <w:szCs w:val="28"/>
        </w:rPr>
        <w:lastRenderedPageBreak/>
        <w:t>百公里</w:t>
      </w:r>
      <w:proofErr w:type="gramEnd"/>
      <w:r>
        <w:rPr>
          <w:rFonts w:ascii="宋体" w:hAnsi="宋体" w:hint="eastAsia"/>
          <w:sz w:val="28"/>
          <w:szCs w:val="28"/>
        </w:rPr>
        <w:t>能耗：主要为各项交通工具的能耗指标，其中私人小汽车的数据均取自小熊油耗数据平台数据调研结果。纯电动出租车的数据取自比亚</w:t>
      </w:r>
      <w:proofErr w:type="gramStart"/>
      <w:r>
        <w:rPr>
          <w:rFonts w:ascii="宋体" w:hAnsi="宋体" w:hint="eastAsia"/>
          <w:sz w:val="28"/>
          <w:szCs w:val="28"/>
        </w:rPr>
        <w:t>迪</w:t>
      </w:r>
      <w:proofErr w:type="gramEnd"/>
      <w:r>
        <w:rPr>
          <w:rFonts w:ascii="宋体" w:hAnsi="宋体" w:hint="eastAsia"/>
          <w:sz w:val="28"/>
          <w:szCs w:val="28"/>
        </w:rPr>
        <w:t>e</w:t>
      </w:r>
      <w:r>
        <w:rPr>
          <w:rFonts w:ascii="宋体" w:hAnsi="宋体"/>
          <w:sz w:val="28"/>
          <w:szCs w:val="28"/>
        </w:rPr>
        <w:t>6</w:t>
      </w:r>
      <w:r>
        <w:rPr>
          <w:rFonts w:ascii="宋体" w:hAnsi="宋体" w:hint="eastAsia"/>
          <w:sz w:val="28"/>
          <w:szCs w:val="28"/>
        </w:rPr>
        <w:t>公布信息，</w:t>
      </w:r>
      <w:proofErr w:type="gramStart"/>
      <w:r>
        <w:rPr>
          <w:rFonts w:ascii="宋体" w:hAnsi="宋体" w:hint="eastAsia"/>
          <w:sz w:val="28"/>
          <w:szCs w:val="28"/>
        </w:rPr>
        <w:t>网约车的</w:t>
      </w:r>
      <w:proofErr w:type="gramEnd"/>
      <w:r>
        <w:rPr>
          <w:rFonts w:ascii="宋体" w:hAnsi="宋体" w:hint="eastAsia"/>
          <w:sz w:val="28"/>
          <w:szCs w:val="28"/>
        </w:rPr>
        <w:t>数据取自滴滴调研结果。</w:t>
      </w:r>
    </w:p>
    <w:p w14:paraId="7FB0D666" w14:textId="7BF45D42" w:rsidR="0091722D"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碳排放因子：主要分为汽油和电力的碳排放因子，汽油取自《广东省市县（区）级温室气体清单》，电力碳排放因子根据国家发布各年份广东省电力因子，</w:t>
      </w:r>
      <w:proofErr w:type="gramStart"/>
      <w:r>
        <w:rPr>
          <w:rFonts w:ascii="宋体" w:hAnsi="宋体" w:hint="eastAsia"/>
          <w:sz w:val="28"/>
          <w:szCs w:val="28"/>
        </w:rPr>
        <w:t>未发布年份取最近</w:t>
      </w:r>
      <w:proofErr w:type="gramEnd"/>
      <w:r>
        <w:rPr>
          <w:rFonts w:ascii="宋体" w:hAnsi="宋体" w:hint="eastAsia"/>
          <w:sz w:val="28"/>
          <w:szCs w:val="28"/>
        </w:rPr>
        <w:t>可得的年份数据。</w:t>
      </w:r>
    </w:p>
    <w:p w14:paraId="25C87D9F" w14:textId="6B2AECE2" w:rsidR="0091722D"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车辆数：车辆</w:t>
      </w:r>
      <w:proofErr w:type="gramStart"/>
      <w:r>
        <w:rPr>
          <w:rFonts w:ascii="宋体" w:hAnsi="宋体" w:hint="eastAsia"/>
          <w:sz w:val="28"/>
          <w:szCs w:val="28"/>
        </w:rPr>
        <w:t>数数据</w:t>
      </w:r>
      <w:proofErr w:type="gramEnd"/>
      <w:r>
        <w:rPr>
          <w:rFonts w:ascii="宋体" w:hAnsi="宋体" w:hint="eastAsia"/>
          <w:sz w:val="28"/>
          <w:szCs w:val="28"/>
        </w:rPr>
        <w:t>通过正式调研深圳市公安局交通警察局获得数据。</w:t>
      </w:r>
    </w:p>
    <w:p w14:paraId="60ADBADB" w14:textId="77777777" w:rsidR="0091722D"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年均行驶里程：非公共出行中各类私人小汽车的年均行驶数据同样取自小熊油耗数据平台数据调研结果，纯电动出租车的年均行驶里程数据取自交通运输局，纯电动</w:t>
      </w:r>
      <w:proofErr w:type="gramStart"/>
      <w:r>
        <w:rPr>
          <w:rFonts w:ascii="宋体" w:hAnsi="宋体" w:hint="eastAsia"/>
          <w:sz w:val="28"/>
          <w:szCs w:val="28"/>
        </w:rPr>
        <w:t>网约车的</w:t>
      </w:r>
      <w:proofErr w:type="gramEnd"/>
      <w:r>
        <w:rPr>
          <w:rFonts w:ascii="宋体" w:hAnsi="宋体" w:hint="eastAsia"/>
          <w:sz w:val="28"/>
          <w:szCs w:val="28"/>
        </w:rPr>
        <w:t>年均行驶里程数据取自滴滴和交通运输局。</w:t>
      </w:r>
    </w:p>
    <w:p w14:paraId="557FD5AA" w14:textId="7A7B4855" w:rsidR="0091722D" w:rsidRDefault="00000000">
      <w:pPr>
        <w:adjustRightInd w:val="0"/>
        <w:snapToGrid w:val="0"/>
        <w:spacing w:beforeLines="50" w:before="163" w:line="360" w:lineRule="auto"/>
        <w:ind w:firstLine="482"/>
        <w:rPr>
          <w:rFonts w:ascii="宋体" w:hAnsi="宋体" w:hint="eastAsia"/>
          <w:sz w:val="28"/>
          <w:szCs w:val="28"/>
        </w:rPr>
      </w:pPr>
      <w:bookmarkStart w:id="23" w:name="_Toc88473807"/>
      <w:r>
        <w:rPr>
          <w:rFonts w:ascii="宋体" w:hAnsi="宋体" w:hint="eastAsia"/>
          <w:sz w:val="28"/>
          <w:szCs w:val="28"/>
        </w:rPr>
        <w:t>其他参数说明：私人小汽车和出租汽车的每次载客量和每日载运次数引用自《碳普惠制下居民公共汽车出行减碳量核算方法研究》。二是低碳公共出行</w:t>
      </w:r>
      <w:r>
        <w:rPr>
          <w:rFonts w:ascii="宋体" w:hAnsi="宋体"/>
          <w:sz w:val="28"/>
          <w:szCs w:val="28"/>
        </w:rPr>
        <w:t>交通工具</w:t>
      </w:r>
      <w:r>
        <w:rPr>
          <w:rFonts w:ascii="宋体" w:hAnsi="宋体" w:hint="eastAsia"/>
          <w:sz w:val="28"/>
          <w:szCs w:val="28"/>
        </w:rPr>
        <w:t>的各项参数</w:t>
      </w:r>
      <w:bookmarkEnd w:id="23"/>
      <w:r>
        <w:rPr>
          <w:rFonts w:ascii="宋体" w:hAnsi="宋体" w:hint="eastAsia"/>
          <w:sz w:val="28"/>
          <w:szCs w:val="28"/>
        </w:rPr>
        <w:t>：</w:t>
      </w:r>
    </w:p>
    <w:p w14:paraId="2434BE90" w14:textId="77777777" w:rsidR="0091722D" w:rsidRDefault="00000000">
      <w:pPr>
        <w:adjustRightInd w:val="0"/>
        <w:snapToGrid w:val="0"/>
        <w:spacing w:line="360" w:lineRule="auto"/>
        <w:ind w:firstLine="482"/>
        <w:rPr>
          <w:rFonts w:ascii="宋体" w:hAnsi="宋体" w:hint="eastAsia"/>
          <w:sz w:val="28"/>
          <w:szCs w:val="28"/>
        </w:rPr>
      </w:pPr>
      <w:r>
        <w:rPr>
          <w:rFonts w:ascii="宋体" w:hAnsi="宋体" w:hint="eastAsia"/>
          <w:sz w:val="28"/>
          <w:szCs w:val="28"/>
        </w:rPr>
        <w:t>碳排放因子：低碳公共出行交通工具（即公共汽车和地铁）的汽油、柴油和天然气碳排放因子同样取自《广东省市县（区）级温室气体清单》，电力碳排放因子根据国家发布的各年份广东省的电力因子。</w:t>
      </w:r>
    </w:p>
    <w:p w14:paraId="57EE59ED" w14:textId="7EA85411" w:rsidR="0091722D"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年度耗电量：低碳公共出行交通工具（即公共汽车和地铁）的年度用能总量数据来源于交通运输局，包括附属设施能耗。</w:t>
      </w:r>
    </w:p>
    <w:p w14:paraId="03416BB8" w14:textId="507FCE37" w:rsidR="0091722D"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年度平均运距：非公共出行交通工具的年度平均运距数据通过其他参数计算获得，低碳公共出行交通工具的年度平均</w:t>
      </w:r>
      <w:proofErr w:type="gramStart"/>
      <w:r>
        <w:rPr>
          <w:rFonts w:ascii="宋体" w:hAnsi="宋体" w:hint="eastAsia"/>
          <w:sz w:val="28"/>
          <w:szCs w:val="28"/>
        </w:rPr>
        <w:t>乘距通过</w:t>
      </w:r>
      <w:proofErr w:type="gramEnd"/>
      <w:r>
        <w:rPr>
          <w:rFonts w:ascii="宋体" w:hAnsi="宋体" w:hint="eastAsia"/>
          <w:sz w:val="28"/>
          <w:szCs w:val="28"/>
        </w:rPr>
        <w:t>交通运输局获得数据。其中关于公共汽车的</w:t>
      </w:r>
      <w:proofErr w:type="gramStart"/>
      <w:r>
        <w:rPr>
          <w:rFonts w:ascii="宋体" w:hAnsi="宋体" w:hint="eastAsia"/>
          <w:sz w:val="28"/>
          <w:szCs w:val="28"/>
        </w:rPr>
        <w:t>平均乘距取值</w:t>
      </w:r>
      <w:proofErr w:type="gramEnd"/>
      <w:r>
        <w:rPr>
          <w:rFonts w:ascii="宋体" w:hAnsi="宋体" w:hint="eastAsia"/>
          <w:sz w:val="28"/>
          <w:szCs w:val="28"/>
        </w:rPr>
        <w:t>主要是取巴士集团</w:t>
      </w:r>
      <w:r>
        <w:rPr>
          <w:rFonts w:ascii="宋体" w:hAnsi="宋体" w:hint="eastAsia"/>
          <w:sz w:val="28"/>
          <w:szCs w:val="28"/>
        </w:rPr>
        <w:lastRenderedPageBreak/>
        <w:t>数据计算平均运距（由于东西部公交承运地理位置原因，造成平均运距较大，远超居民正常出行距离，因此取巴士集团平均运距）。</w:t>
      </w:r>
    </w:p>
    <w:p w14:paraId="1A3FDF93" w14:textId="6C0C7791" w:rsidR="0091722D"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年度累计客运量：低碳公共出行交通工具的年度累计客运量采用交通运输局数据。</w:t>
      </w:r>
    </w:p>
    <w:p w14:paraId="12DFDB09" w14:textId="77777777" w:rsidR="0091722D" w:rsidRDefault="00000000">
      <w:pPr>
        <w:adjustRightInd w:val="0"/>
        <w:snapToGrid w:val="0"/>
        <w:spacing w:beforeLines="50" w:before="163" w:line="360" w:lineRule="auto"/>
        <w:ind w:firstLineChars="200" w:firstLine="560"/>
        <w:rPr>
          <w:rFonts w:ascii="宋体" w:hAnsi="宋体" w:hint="eastAsia"/>
          <w:sz w:val="28"/>
          <w:szCs w:val="28"/>
        </w:rPr>
      </w:pPr>
      <w:r>
        <w:rPr>
          <w:rFonts w:ascii="宋体" w:hAnsi="宋体" w:hint="eastAsia"/>
          <w:sz w:val="28"/>
          <w:szCs w:val="28"/>
        </w:rPr>
        <w:t>三是私人电动自行车的各项参数：</w:t>
      </w:r>
    </w:p>
    <w:p w14:paraId="30E29381"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私人电动自行车的</w:t>
      </w:r>
      <w:proofErr w:type="gramStart"/>
      <w:r>
        <w:rPr>
          <w:rFonts w:ascii="宋体" w:hAnsi="宋体" w:hint="eastAsia"/>
          <w:sz w:val="28"/>
          <w:szCs w:val="28"/>
        </w:rPr>
        <w:t>百公里能耗及碳排放</w:t>
      </w:r>
      <w:proofErr w:type="gramEnd"/>
      <w:r>
        <w:rPr>
          <w:rFonts w:ascii="宋体" w:hAnsi="宋体" w:hint="eastAsia"/>
          <w:sz w:val="28"/>
          <w:szCs w:val="28"/>
        </w:rPr>
        <w:t>因子取自哈啰数据平台，折算所得即为私人电动自行车的人公里排放因子。</w:t>
      </w:r>
    </w:p>
    <w:p w14:paraId="4E07E7B9" w14:textId="6DB2FFA9" w:rsidR="0091722D" w:rsidRDefault="00000000">
      <w:pPr>
        <w:adjustRightInd w:val="0"/>
        <w:snapToGrid w:val="0"/>
        <w:spacing w:beforeLines="50" w:before="163" w:line="360" w:lineRule="auto"/>
        <w:ind w:firstLineChars="200" w:firstLine="560"/>
        <w:rPr>
          <w:rFonts w:ascii="宋体" w:hAnsi="宋体" w:hint="eastAsia"/>
          <w:sz w:val="28"/>
          <w:szCs w:val="28"/>
        </w:rPr>
      </w:pPr>
      <w:r>
        <w:rPr>
          <w:rFonts w:ascii="宋体" w:hAnsi="宋体" w:hint="eastAsia"/>
          <w:sz w:val="28"/>
          <w:szCs w:val="28"/>
        </w:rPr>
        <w:t>经过测算，得出2022年-2025年的人公里排放因子，其中2022年排放因子用当年数据原各交通工具出行比例进行计算，2023-2025年排放因子用2021-2023年</w:t>
      </w:r>
      <w:proofErr w:type="gramStart"/>
      <w:r>
        <w:rPr>
          <w:rFonts w:ascii="宋体" w:hAnsi="宋体" w:hint="eastAsia"/>
          <w:sz w:val="28"/>
          <w:szCs w:val="28"/>
        </w:rPr>
        <w:t>数据新各交通工具</w:t>
      </w:r>
      <w:proofErr w:type="gramEnd"/>
      <w:r>
        <w:rPr>
          <w:rFonts w:ascii="宋体" w:hAnsi="宋体" w:hint="eastAsia"/>
          <w:sz w:val="28"/>
          <w:szCs w:val="28"/>
        </w:rPr>
        <w:t>出行比例进行计算。</w:t>
      </w:r>
    </w:p>
    <w:p w14:paraId="031B43FC" w14:textId="77777777" w:rsidR="0091722D" w:rsidRDefault="00000000">
      <w:pPr>
        <w:pStyle w:val="1"/>
        <w:numPr>
          <w:ilvl w:val="0"/>
          <w:numId w:val="7"/>
        </w:numPr>
        <w:spacing w:before="0" w:after="0" w:line="360" w:lineRule="auto"/>
        <w:ind w:left="0" w:firstLineChars="200" w:firstLine="602"/>
        <w:jc w:val="left"/>
        <w:rPr>
          <w:sz w:val="30"/>
        </w:rPr>
      </w:pPr>
      <w:r>
        <w:rPr>
          <w:rFonts w:hint="eastAsia"/>
          <w:sz w:val="30"/>
        </w:rPr>
        <w:t>减排量测算分析</w:t>
      </w:r>
    </w:p>
    <w:p w14:paraId="480BDD28"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（基于方法学计算逻辑，选取项目开展1个自然年的减排量测算。同时，结合深圳市内项目的应用和普及情况，测算深圳市1个自然年的减排量规模。）</w:t>
      </w:r>
    </w:p>
    <w:p w14:paraId="0A3033BC" w14:textId="77777777" w:rsidR="0091722D" w:rsidRDefault="00000000">
      <w:pPr>
        <w:adjustRightInd w:val="0"/>
        <w:snapToGrid w:val="0"/>
        <w:spacing w:before="120" w:after="120"/>
        <w:ind w:firstLine="562"/>
        <w:rPr>
          <w:rFonts w:ascii="宋体" w:hAnsi="宋体" w:hint="eastAsia"/>
          <w:b/>
          <w:bCs/>
          <w:sz w:val="28"/>
          <w:szCs w:val="28"/>
        </w:rPr>
      </w:pPr>
      <w:r>
        <w:rPr>
          <w:rFonts w:ascii="宋体" w:hAnsi="宋体" w:hint="eastAsia"/>
          <w:b/>
          <w:bCs/>
          <w:sz w:val="28"/>
          <w:szCs w:val="28"/>
        </w:rPr>
        <w:t>1.项目减排量测算</w:t>
      </w:r>
    </w:p>
    <w:p w14:paraId="2BF8B2FA" w14:textId="52BF4BAE" w:rsidR="0091722D" w:rsidRDefault="00000000" w:rsidP="005147EC">
      <w:pPr>
        <w:spacing w:line="360" w:lineRule="auto"/>
        <w:ind w:firstLineChars="200" w:firstLine="560"/>
        <w:rPr>
          <w:rFonts w:ascii="宋体" w:hAnsi="宋体" w:hint="eastAsia"/>
          <w:sz w:val="28"/>
          <w:szCs w:val="28"/>
        </w:rPr>
      </w:pPr>
      <w:proofErr w:type="gramStart"/>
      <w:r>
        <w:rPr>
          <w:rFonts w:hint="eastAsia"/>
          <w:sz w:val="28"/>
          <w:szCs w:val="28"/>
        </w:rPr>
        <w:t>以青桔</w:t>
      </w:r>
      <w:r>
        <w:rPr>
          <w:rFonts w:hint="eastAsia"/>
          <w:sz w:val="28"/>
          <w:szCs w:val="28"/>
        </w:rPr>
        <w:t>2024</w:t>
      </w:r>
      <w:r>
        <w:rPr>
          <w:rFonts w:hint="eastAsia"/>
          <w:sz w:val="28"/>
          <w:szCs w:val="28"/>
        </w:rPr>
        <w:t>年</w:t>
      </w:r>
      <w:proofErr w:type="gramEnd"/>
      <w:r>
        <w:rPr>
          <w:rFonts w:hint="eastAsia"/>
          <w:sz w:val="28"/>
          <w:szCs w:val="28"/>
        </w:rPr>
        <w:t>运营项目为例，基准线情景排放因子采用</w:t>
      </w:r>
      <w:r>
        <w:rPr>
          <w:rFonts w:hint="eastAsia"/>
          <w:sz w:val="28"/>
          <w:szCs w:val="28"/>
        </w:rPr>
        <w:t>2022</w:t>
      </w:r>
      <w:r>
        <w:rPr>
          <w:rFonts w:hint="eastAsia"/>
          <w:sz w:val="28"/>
          <w:szCs w:val="28"/>
        </w:rPr>
        <w:t>年数据计算获得</w:t>
      </w:r>
      <w:r>
        <w:rPr>
          <w:rFonts w:hint="eastAsia"/>
          <w:sz w:val="28"/>
          <w:szCs w:val="28"/>
        </w:rPr>
        <w:t>2024</w:t>
      </w:r>
      <w:r>
        <w:rPr>
          <w:rFonts w:hint="eastAsia"/>
          <w:sz w:val="28"/>
          <w:szCs w:val="28"/>
        </w:rPr>
        <w:t>年的</w:t>
      </w:r>
      <w:r>
        <w:rPr>
          <w:rFonts w:ascii="宋体" w:hAnsi="宋体" w:hint="eastAsia"/>
          <w:sz w:val="28"/>
          <w:szCs w:val="28"/>
        </w:rPr>
        <w:t>人公里排放因子，经计算（详见测算表），2024年的减排量为17111 tCO</w:t>
      </w:r>
      <w:r>
        <w:rPr>
          <w:rFonts w:ascii="宋体" w:hAnsi="宋体" w:hint="eastAsia"/>
          <w:sz w:val="28"/>
          <w:szCs w:val="28"/>
          <w:vertAlign w:val="subscript"/>
        </w:rPr>
        <w:t>2</w:t>
      </w:r>
    </w:p>
    <w:p w14:paraId="7EF6D8A3" w14:textId="77777777" w:rsidR="0091722D" w:rsidRDefault="00000000">
      <w:pPr>
        <w:adjustRightInd w:val="0"/>
        <w:snapToGrid w:val="0"/>
        <w:spacing w:line="360" w:lineRule="auto"/>
        <w:ind w:firstLineChars="200" w:firstLine="562"/>
        <w:rPr>
          <w:rFonts w:ascii="宋体" w:hAnsi="宋体" w:hint="eastAsia"/>
          <w:b/>
          <w:bCs/>
          <w:sz w:val="28"/>
          <w:szCs w:val="28"/>
        </w:rPr>
      </w:pPr>
      <w:r>
        <w:rPr>
          <w:rFonts w:ascii="宋体" w:hAnsi="宋体" w:hint="eastAsia"/>
          <w:b/>
          <w:bCs/>
          <w:sz w:val="28"/>
          <w:szCs w:val="28"/>
        </w:rPr>
        <w:t>2.深圳市范围</w:t>
      </w:r>
      <w:proofErr w:type="gramStart"/>
      <w:r>
        <w:rPr>
          <w:rFonts w:ascii="宋体" w:hAnsi="宋体" w:hint="eastAsia"/>
          <w:b/>
          <w:bCs/>
          <w:sz w:val="28"/>
          <w:szCs w:val="28"/>
        </w:rPr>
        <w:t>内减排规模</w:t>
      </w:r>
      <w:proofErr w:type="gramEnd"/>
      <w:r>
        <w:rPr>
          <w:rFonts w:ascii="宋体" w:hAnsi="宋体" w:hint="eastAsia"/>
          <w:b/>
          <w:bCs/>
          <w:sz w:val="28"/>
          <w:szCs w:val="28"/>
        </w:rPr>
        <w:t>测算</w:t>
      </w:r>
    </w:p>
    <w:p w14:paraId="5EE1F1C7" w14:textId="77777777" w:rsidR="0091722D" w:rsidRDefault="00000000">
      <w:pPr>
        <w:adjustRightInd w:val="0"/>
        <w:snapToGrid w:val="0"/>
        <w:spacing w:line="360" w:lineRule="auto"/>
        <w:ind w:firstLineChars="200" w:firstLine="560"/>
        <w:rPr>
          <w:rFonts w:ascii="宋体" w:hAnsi="宋体" w:hint="eastAsia"/>
          <w:sz w:val="28"/>
          <w:szCs w:val="28"/>
        </w:rPr>
      </w:pPr>
      <w:proofErr w:type="gramStart"/>
      <w:r>
        <w:rPr>
          <w:rFonts w:ascii="宋体" w:hAnsi="宋体" w:hint="eastAsia"/>
          <w:sz w:val="28"/>
          <w:szCs w:val="28"/>
        </w:rPr>
        <w:t>根据青桔单车</w:t>
      </w:r>
      <w:proofErr w:type="gramEnd"/>
      <w:r>
        <w:rPr>
          <w:rFonts w:ascii="宋体" w:hAnsi="宋体" w:hint="eastAsia"/>
          <w:sz w:val="28"/>
          <w:szCs w:val="28"/>
        </w:rPr>
        <w:t>全市投放量占比约为33%，假设投放量与减排量成正比关系，初步估算深圳全市的减排量约为</w:t>
      </w:r>
    </w:p>
    <w:p w14:paraId="1D055635" w14:textId="77777777" w:rsidR="0091722D"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17111/33% = 51851 tCO</w:t>
      </w:r>
      <w:r>
        <w:rPr>
          <w:rFonts w:ascii="宋体" w:hAnsi="宋体" w:hint="eastAsia"/>
          <w:sz w:val="28"/>
          <w:szCs w:val="28"/>
          <w:vertAlign w:val="subscript"/>
        </w:rPr>
        <w:t>2</w:t>
      </w:r>
    </w:p>
    <w:sectPr w:rsidR="0091722D">
      <w:headerReference w:type="even" r:id="rId14"/>
      <w:headerReference w:type="default" r:id="rId15"/>
      <w:footerReference w:type="even" r:id="rId16"/>
      <w:footerReference w:type="default" r:id="rId17"/>
      <w:headerReference w:type="first" r:id="rId18"/>
      <w:pgSz w:w="11906" w:h="16838"/>
      <w:pgMar w:top="1440" w:right="1800" w:bottom="1440" w:left="1800" w:header="1417" w:footer="1134"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22F5" w14:textId="77777777" w:rsidR="00707AB0" w:rsidRDefault="00707AB0">
      <w:r>
        <w:separator/>
      </w:r>
    </w:p>
  </w:endnote>
  <w:endnote w:type="continuationSeparator" w:id="0">
    <w:p w14:paraId="1A040ECC" w14:textId="77777777" w:rsidR="00707AB0" w:rsidRDefault="0070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D119" w14:textId="77777777" w:rsidR="0091722D" w:rsidRDefault="00000000">
    <w:pPr>
      <w:pStyle w:val="ae"/>
      <w:spacing w:before="120" w:after="120"/>
      <w:ind w:firstLine="360"/>
      <w:jc w:val="center"/>
    </w:pPr>
    <w:r>
      <w:rPr>
        <w:noProof/>
      </w:rPr>
      <mc:AlternateContent>
        <mc:Choice Requires="wps">
          <w:drawing>
            <wp:anchor distT="0" distB="0" distL="114300" distR="114300" simplePos="0" relativeHeight="251661312" behindDoc="0" locked="0" layoutInCell="1" allowOverlap="1" wp14:anchorId="0CFCAAE3" wp14:editId="54348867">
              <wp:simplePos x="0" y="0"/>
              <wp:positionH relativeFrom="margin">
                <wp:align>center</wp:align>
              </wp:positionH>
              <wp:positionV relativeFrom="paragraph">
                <wp:posOffset>0</wp:posOffset>
              </wp:positionV>
              <wp:extent cx="114935" cy="131445"/>
              <wp:effectExtent l="0" t="3175" r="635" b="0"/>
              <wp:wrapNone/>
              <wp:docPr id="98167607" name="文本框 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FF119D7" w14:textId="77777777" w:rsidR="0091722D" w:rsidRDefault="00000000">
                          <w:pPr>
                            <w:pStyle w:val="ae"/>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0CFCAAE3" id="_x0000_t202" coordsize="21600,21600" o:spt="202" path="m,l,21600r21600,l21600,xe">
              <v:stroke joinstyle="miter"/>
              <v:path gradientshapeok="t" o:connecttype="rect"/>
            </v:shapetype>
            <v:shape id="文本框 1088" o:spid="_x0000_s1026" type="#_x0000_t202" style="position:absolute;left:0;text-align:left;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5FF119D7" w14:textId="77777777" w:rsidR="0091722D"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46769368" w14:textId="77777777" w:rsidR="0091722D" w:rsidRDefault="0091722D">
    <w:pPr>
      <w:pStyle w:val="ae"/>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637E" w14:textId="77777777" w:rsidR="0091722D" w:rsidRDefault="0091722D">
    <w:pPr>
      <w:pStyle w:val="ae"/>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9154" w14:textId="77777777" w:rsidR="0091722D" w:rsidRDefault="00000000">
    <w:pPr>
      <w:pStyle w:val="ae"/>
      <w:spacing w:before="120" w:after="120"/>
      <w:ind w:firstLine="360"/>
      <w:jc w:val="center"/>
    </w:pPr>
    <w:r>
      <w:rPr>
        <w:noProof/>
      </w:rPr>
      <mc:AlternateContent>
        <mc:Choice Requires="wps">
          <w:drawing>
            <wp:anchor distT="0" distB="0" distL="114300" distR="114300" simplePos="0" relativeHeight="251660288" behindDoc="0" locked="0" layoutInCell="1" allowOverlap="1" wp14:anchorId="7E61AB42" wp14:editId="03F40D00">
              <wp:simplePos x="0" y="0"/>
              <wp:positionH relativeFrom="margin">
                <wp:align>center</wp:align>
              </wp:positionH>
              <wp:positionV relativeFrom="paragraph">
                <wp:posOffset>0</wp:posOffset>
              </wp:positionV>
              <wp:extent cx="343535" cy="283845"/>
              <wp:effectExtent l="0" t="1270" r="635" b="635"/>
              <wp:wrapNone/>
              <wp:docPr id="157312664" name="文本框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83845"/>
                      </a:xfrm>
                      <a:prstGeom prst="rect">
                        <a:avLst/>
                      </a:prstGeom>
                      <a:noFill/>
                      <a:ln>
                        <a:noFill/>
                      </a:ln>
                    </wps:spPr>
                    <wps:txbx>
                      <w:txbxContent>
                        <w:p w14:paraId="4E1E9F6A" w14:textId="77777777" w:rsidR="0091722D" w:rsidRDefault="00000000">
                          <w:pPr>
                            <w:pStyle w:val="ae"/>
                            <w:spacing w:before="120" w:after="120"/>
                            <w:ind w:firstLine="360"/>
                            <w:jc w:val="center"/>
                          </w:pPr>
                          <w:r>
                            <w:fldChar w:fldCharType="begin"/>
                          </w:r>
                          <w:r>
                            <w:instrText>PAGE   \* MERGEFORMAT</w:instrText>
                          </w:r>
                          <w:r>
                            <w:fldChar w:fldCharType="separate"/>
                          </w:r>
                          <w:r>
                            <w:rPr>
                              <w:lang w:val="zh-CN"/>
                            </w:rPr>
                            <w:t>10</w:t>
                          </w:r>
                          <w:r>
                            <w:fldChar w:fldCharType="end"/>
                          </w:r>
                        </w:p>
                      </w:txbxContent>
                    </wps:txbx>
                    <wps:bodyPr rot="0" vert="horz" wrap="none" lIns="0" tIns="0" rIns="0" bIns="0" anchor="t" anchorCtr="0" upright="1">
                      <a:spAutoFit/>
                    </wps:bodyPr>
                  </wps:wsp>
                </a:graphicData>
              </a:graphic>
            </wp:anchor>
          </w:drawing>
        </mc:Choice>
        <mc:Fallback>
          <w:pict>
            <v:shapetype w14:anchorId="7E61AB42" id="_x0000_t202" coordsize="21600,21600" o:spt="202" path="m,l,21600r21600,l21600,xe">
              <v:stroke joinstyle="miter"/>
              <v:path gradientshapeok="t" o:connecttype="rect"/>
            </v:shapetype>
            <v:shape id="文本框 1085" o:spid="_x0000_s1027" type="#_x0000_t202" style="position:absolute;left:0;text-align:left;margin-left:0;margin-top:0;width:27.05pt;height:22.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" filled="f" stroked="f">
              <v:textbox style="mso-fit-shape-to-text:t" inset="0,0,0,0">
                <w:txbxContent>
                  <w:p w14:paraId="4E1E9F6A" w14:textId="77777777" w:rsidR="0091722D" w:rsidRDefault="00000000">
                    <w:pPr>
                      <w:pStyle w:val="ae"/>
                      <w:spacing w:before="120" w:after="120"/>
                      <w:ind w:firstLine="360"/>
                      <w:jc w:val="center"/>
                    </w:pPr>
                    <w:r>
                      <w:fldChar w:fldCharType="begin"/>
                    </w:r>
                    <w:r>
                      <w:instrText>PAGE   \* MERGEFORMAT</w:instrText>
                    </w:r>
                    <w:r>
                      <w:fldChar w:fldCharType="separate"/>
                    </w:r>
                    <w:r>
                      <w:rPr>
                        <w:lang w:val="zh-CN"/>
                      </w:rPr>
                      <w:t>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21F2" w14:textId="77777777" w:rsidR="0091722D" w:rsidRDefault="00000000">
    <w:pPr>
      <w:pStyle w:val="ae"/>
      <w:spacing w:before="120" w:after="120"/>
      <w:jc w:val="center"/>
    </w:pPr>
    <w:r>
      <w:rPr>
        <w:noProof/>
      </w:rPr>
      <mc:AlternateContent>
        <mc:Choice Requires="wps">
          <w:drawing>
            <wp:anchor distT="0" distB="0" distL="114300" distR="114300" simplePos="0" relativeHeight="251659264" behindDoc="0" locked="0" layoutInCell="1" allowOverlap="1" wp14:anchorId="44A35C97" wp14:editId="4A23F169">
              <wp:simplePos x="0" y="0"/>
              <wp:positionH relativeFrom="margin">
                <wp:align>center</wp:align>
              </wp:positionH>
              <wp:positionV relativeFrom="paragraph">
                <wp:posOffset>0</wp:posOffset>
              </wp:positionV>
              <wp:extent cx="114935" cy="283845"/>
              <wp:effectExtent l="0" t="1270" r="635" b="635"/>
              <wp:wrapNone/>
              <wp:docPr id="528698798" name="文本框 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3845"/>
                      </a:xfrm>
                      <a:prstGeom prst="rect">
                        <a:avLst/>
                      </a:prstGeom>
                      <a:noFill/>
                      <a:ln>
                        <a:noFill/>
                      </a:ln>
                      <a:effectLst/>
                    </wps:spPr>
                    <wps:txbx>
                      <w:txbxContent>
                        <w:p w14:paraId="29729A13" w14:textId="77777777" w:rsidR="0091722D" w:rsidRDefault="00000000">
                          <w:pPr>
                            <w:pStyle w:val="ae"/>
                            <w:spacing w:before="120" w:after="120"/>
                            <w:jc w:val="center"/>
                          </w:pPr>
                          <w:r>
                            <w:fldChar w:fldCharType="begin"/>
                          </w:r>
                          <w:r>
                            <w:instrText>PAGE   \* MERGEFORMAT</w:instrText>
                          </w:r>
                          <w:r>
                            <w:fldChar w:fldCharType="separate"/>
                          </w:r>
                          <w:r>
                            <w:rPr>
                              <w:lang w:val="zh-CN"/>
                            </w:rPr>
                            <w:t>3</w:t>
                          </w:r>
                          <w:r>
                            <w:fldChar w:fldCharType="end"/>
                          </w:r>
                        </w:p>
                      </w:txbxContent>
                    </wps:txbx>
                    <wps:bodyPr rot="0" vert="horz" wrap="none" lIns="0" tIns="0" rIns="0" bIns="0" anchor="t" anchorCtr="0" upright="1">
                      <a:spAutoFit/>
                    </wps:bodyPr>
                  </wps:wsp>
                </a:graphicData>
              </a:graphic>
            </wp:anchor>
          </w:drawing>
        </mc:Choice>
        <mc:Fallback>
          <w:pict>
            <v:shapetype w14:anchorId="44A35C97" id="_x0000_t202" coordsize="21600,21600" o:spt="202" path="m,l,21600r21600,l21600,xe">
              <v:stroke joinstyle="miter"/>
              <v:path gradientshapeok="t" o:connecttype="rect"/>
            </v:shapetype>
            <v:shape id="文本框 1080" o:spid="_x0000_s1028" type="#_x0000_t202" style="position:absolute;left:0;text-align:left;margin-left:0;margin-top:0;width:9.05pt;height:22.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" filled="f" stroked="f">
              <v:textbox style="mso-fit-shape-to-text:t" inset="0,0,0,0">
                <w:txbxContent>
                  <w:p w14:paraId="29729A13" w14:textId="77777777" w:rsidR="0091722D" w:rsidRDefault="00000000">
                    <w:pPr>
                      <w:pStyle w:val="ae"/>
                      <w:spacing w:before="120" w:after="120"/>
                      <w:jc w:val="center"/>
                    </w:pPr>
                    <w:r>
                      <w:fldChar w:fldCharType="begin"/>
                    </w:r>
                    <w:r>
                      <w:instrText>PAGE   \* MERGEFORMAT</w:instrText>
                    </w:r>
                    <w:r>
                      <w:fldChar w:fldCharType="separate"/>
                    </w:r>
                    <w:r>
                      <w:rPr>
                        <w:lang w:val="zh-CN"/>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2E6B" w14:textId="77777777" w:rsidR="00707AB0" w:rsidRDefault="00707AB0">
      <w:r>
        <w:separator/>
      </w:r>
    </w:p>
  </w:footnote>
  <w:footnote w:type="continuationSeparator" w:id="0">
    <w:p w14:paraId="030E241D" w14:textId="77777777" w:rsidR="00707AB0" w:rsidRDefault="0070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E8AA" w14:textId="77777777" w:rsidR="0091722D" w:rsidRDefault="0091722D">
    <w:pPr>
      <w:pStyle w:val="afe"/>
      <w:ind w:left="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06CA" w14:textId="77777777" w:rsidR="0091722D" w:rsidRDefault="0091722D">
    <w:pPr>
      <w:pStyle w:val="af0"/>
      <w:pBdr>
        <w:bottom w:val="none" w:sz="0" w:space="1" w:color="auto"/>
      </w:pBdr>
      <w:spacing w:before="120" w:after="120"/>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F819" w14:textId="77777777" w:rsidR="0091722D" w:rsidRDefault="0091722D">
    <w:pPr>
      <w:pStyle w:val="af0"/>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2D9A" w14:textId="77777777" w:rsidR="0091722D" w:rsidRDefault="0091722D">
    <w:pPr>
      <w:pStyle w:val="af0"/>
      <w:spacing w:before="120" w:after="120"/>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51A80EE6"/>
    <w:multiLevelType w:val="multilevel"/>
    <w:tmpl w:val="51A80EE6"/>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b/>
        <w:bCs/>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3"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 w15:restartNumberingAfterBreak="0">
    <w:nsid w:val="646260FA"/>
    <w:multiLevelType w:val="multilevel"/>
    <w:tmpl w:val="646260FA"/>
    <w:lvl w:ilvl="0">
      <w:start w:val="1"/>
      <w:numFmt w:val="decimal"/>
      <w:pStyle w:val="a3"/>
      <w:suff w:val="nothing"/>
      <w:lvlText w:val="表%1　"/>
      <w:lvlJc w:val="left"/>
      <w:pPr>
        <w:ind w:left="1844"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657D3FBC"/>
    <w:multiLevelType w:val="multilevel"/>
    <w:tmpl w:val="657D3FBC"/>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7FA53740"/>
    <w:multiLevelType w:val="multilevel"/>
    <w:tmpl w:val="7FA53740"/>
    <w:lvl w:ilvl="0">
      <w:start w:val="1"/>
      <w:numFmt w:val="chineseCountingThousand"/>
      <w:suff w:val="nothing"/>
      <w:lvlText w:val="%1、"/>
      <w:lvlJc w:val="left"/>
      <w:pPr>
        <w:ind w:left="4111" w:firstLine="0"/>
      </w:pPr>
      <w:rPr>
        <w:rFonts w:cs="Times New Roman"/>
        <w:b/>
        <w:bCs w:val="0"/>
        <w:i w:val="0"/>
        <w:iCs w:val="0"/>
        <w:caps w:val="0"/>
        <w:smallCaps w:val="0"/>
        <w:strike w:val="0"/>
        <w:dstrike w:val="0"/>
        <w:vanish w:val="0"/>
        <w:color w:val="000000"/>
        <w:spacing w:val="0"/>
        <w:position w:val="0"/>
        <w:u w:val="none"/>
        <w:vertAlign w:val="baseline"/>
        <w:lang w:val="en-US"/>
      </w:rPr>
    </w:lvl>
    <w:lvl w:ilvl="1">
      <w:start w:val="1"/>
      <w:numFmt w:val="chineseCountingThousand"/>
      <w:lvlText w:val="(%2)"/>
      <w:lvlJc w:val="left"/>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902761589">
    <w:abstractNumId w:val="2"/>
  </w:num>
  <w:num w:numId="2" w16cid:durableId="1884101447">
    <w:abstractNumId w:val="5"/>
  </w:num>
  <w:num w:numId="3" w16cid:durableId="801579965">
    <w:abstractNumId w:val="4"/>
  </w:num>
  <w:num w:numId="4" w16cid:durableId="431973816">
    <w:abstractNumId w:val="3"/>
  </w:num>
  <w:num w:numId="5" w16cid:durableId="909341193">
    <w:abstractNumId w:val="0"/>
  </w:num>
  <w:num w:numId="6" w16cid:durableId="1078138426">
    <w:abstractNumId w:val="1"/>
  </w:num>
  <w:num w:numId="7" w16cid:durableId="376666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0"/>
  <w:evenAndOddHeaders/>
  <w:drawingGridHorizontalSpacing w:val="158"/>
  <w:drawingGridVerticalSpacing w:val="58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5OWE5YWFkMTllZjg2NjNlMjExMzdmZjgxNjFmNmQifQ=="/>
  </w:docVars>
  <w:rsids>
    <w:rsidRoot w:val="00172A27"/>
    <w:rsid w:val="A7DF12D7"/>
    <w:rsid w:val="000016C5"/>
    <w:rsid w:val="00001B9F"/>
    <w:rsid w:val="000037C8"/>
    <w:rsid w:val="00003F18"/>
    <w:rsid w:val="00010B59"/>
    <w:rsid w:val="000170FB"/>
    <w:rsid w:val="000218B6"/>
    <w:rsid w:val="000356A4"/>
    <w:rsid w:val="00042897"/>
    <w:rsid w:val="00043F9D"/>
    <w:rsid w:val="0004453A"/>
    <w:rsid w:val="000449AD"/>
    <w:rsid w:val="000557D7"/>
    <w:rsid w:val="0005690E"/>
    <w:rsid w:val="00060228"/>
    <w:rsid w:val="00061595"/>
    <w:rsid w:val="00071343"/>
    <w:rsid w:val="00083DCF"/>
    <w:rsid w:val="000900F6"/>
    <w:rsid w:val="0009086F"/>
    <w:rsid w:val="00091D3B"/>
    <w:rsid w:val="00097684"/>
    <w:rsid w:val="000A015A"/>
    <w:rsid w:val="000B163F"/>
    <w:rsid w:val="000B1A0B"/>
    <w:rsid w:val="000B5D1D"/>
    <w:rsid w:val="000C07CB"/>
    <w:rsid w:val="000C79AE"/>
    <w:rsid w:val="000D3405"/>
    <w:rsid w:val="000D6873"/>
    <w:rsid w:val="000E0B78"/>
    <w:rsid w:val="000E4AF0"/>
    <w:rsid w:val="00104F9F"/>
    <w:rsid w:val="00105709"/>
    <w:rsid w:val="001066B2"/>
    <w:rsid w:val="001253D0"/>
    <w:rsid w:val="00127980"/>
    <w:rsid w:val="00132A21"/>
    <w:rsid w:val="0013445C"/>
    <w:rsid w:val="00140264"/>
    <w:rsid w:val="00141EC2"/>
    <w:rsid w:val="00143A82"/>
    <w:rsid w:val="00145286"/>
    <w:rsid w:val="001620FC"/>
    <w:rsid w:val="00164270"/>
    <w:rsid w:val="00165142"/>
    <w:rsid w:val="00172A27"/>
    <w:rsid w:val="001766B1"/>
    <w:rsid w:val="0018407E"/>
    <w:rsid w:val="00185065"/>
    <w:rsid w:val="00185680"/>
    <w:rsid w:val="00187462"/>
    <w:rsid w:val="00194A15"/>
    <w:rsid w:val="001974BF"/>
    <w:rsid w:val="001A5676"/>
    <w:rsid w:val="001A7155"/>
    <w:rsid w:val="001B2BD3"/>
    <w:rsid w:val="001B5A77"/>
    <w:rsid w:val="001C6E82"/>
    <w:rsid w:val="001D64F8"/>
    <w:rsid w:val="001D6790"/>
    <w:rsid w:val="001E5792"/>
    <w:rsid w:val="001E7E7C"/>
    <w:rsid w:val="001F5620"/>
    <w:rsid w:val="00225170"/>
    <w:rsid w:val="00226052"/>
    <w:rsid w:val="00226423"/>
    <w:rsid w:val="00226C9D"/>
    <w:rsid w:val="0023361B"/>
    <w:rsid w:val="0023573D"/>
    <w:rsid w:val="00245B0F"/>
    <w:rsid w:val="002558EB"/>
    <w:rsid w:val="002612A3"/>
    <w:rsid w:val="0027396E"/>
    <w:rsid w:val="00276FDA"/>
    <w:rsid w:val="00281FCD"/>
    <w:rsid w:val="00284D2A"/>
    <w:rsid w:val="002873AD"/>
    <w:rsid w:val="0029472A"/>
    <w:rsid w:val="002949E0"/>
    <w:rsid w:val="002B5FE7"/>
    <w:rsid w:val="002C185B"/>
    <w:rsid w:val="002C2DB7"/>
    <w:rsid w:val="002C3354"/>
    <w:rsid w:val="002C3666"/>
    <w:rsid w:val="002D2C4E"/>
    <w:rsid w:val="002D34B2"/>
    <w:rsid w:val="0032292C"/>
    <w:rsid w:val="003419AC"/>
    <w:rsid w:val="0034787B"/>
    <w:rsid w:val="00347934"/>
    <w:rsid w:val="00352505"/>
    <w:rsid w:val="0035343C"/>
    <w:rsid w:val="00362315"/>
    <w:rsid w:val="0038040F"/>
    <w:rsid w:val="003859B7"/>
    <w:rsid w:val="00392124"/>
    <w:rsid w:val="0039404C"/>
    <w:rsid w:val="003A645E"/>
    <w:rsid w:val="003A7B67"/>
    <w:rsid w:val="003A7E6B"/>
    <w:rsid w:val="003B34B7"/>
    <w:rsid w:val="003B6E7E"/>
    <w:rsid w:val="003B753D"/>
    <w:rsid w:val="003D5C9B"/>
    <w:rsid w:val="003D5F9E"/>
    <w:rsid w:val="003D6769"/>
    <w:rsid w:val="003E382D"/>
    <w:rsid w:val="003E583D"/>
    <w:rsid w:val="00404F2D"/>
    <w:rsid w:val="004075DF"/>
    <w:rsid w:val="00411A96"/>
    <w:rsid w:val="004311C6"/>
    <w:rsid w:val="0043413F"/>
    <w:rsid w:val="00440BBA"/>
    <w:rsid w:val="00450B80"/>
    <w:rsid w:val="0045259F"/>
    <w:rsid w:val="00464A64"/>
    <w:rsid w:val="00472F45"/>
    <w:rsid w:val="00475AEE"/>
    <w:rsid w:val="004768D9"/>
    <w:rsid w:val="0048352E"/>
    <w:rsid w:val="004A4F17"/>
    <w:rsid w:val="004A75C6"/>
    <w:rsid w:val="004B014B"/>
    <w:rsid w:val="004B44E3"/>
    <w:rsid w:val="004C4B2C"/>
    <w:rsid w:val="004C6BF5"/>
    <w:rsid w:val="004C7504"/>
    <w:rsid w:val="004D03FA"/>
    <w:rsid w:val="004D380C"/>
    <w:rsid w:val="004D791C"/>
    <w:rsid w:val="004E6737"/>
    <w:rsid w:val="004F0B65"/>
    <w:rsid w:val="004F5311"/>
    <w:rsid w:val="00504C16"/>
    <w:rsid w:val="005147EC"/>
    <w:rsid w:val="00517BE7"/>
    <w:rsid w:val="00517D23"/>
    <w:rsid w:val="00534D80"/>
    <w:rsid w:val="005353CA"/>
    <w:rsid w:val="00561EAF"/>
    <w:rsid w:val="00572BB7"/>
    <w:rsid w:val="00581882"/>
    <w:rsid w:val="0059114C"/>
    <w:rsid w:val="00595E71"/>
    <w:rsid w:val="005A3395"/>
    <w:rsid w:val="005A5E95"/>
    <w:rsid w:val="005B2390"/>
    <w:rsid w:val="005C2487"/>
    <w:rsid w:val="005D5A9C"/>
    <w:rsid w:val="005E2372"/>
    <w:rsid w:val="006032F7"/>
    <w:rsid w:val="00603688"/>
    <w:rsid w:val="0061142E"/>
    <w:rsid w:val="006115A4"/>
    <w:rsid w:val="006123B6"/>
    <w:rsid w:val="006135D5"/>
    <w:rsid w:val="00613C6A"/>
    <w:rsid w:val="00615A1C"/>
    <w:rsid w:val="006174DF"/>
    <w:rsid w:val="0063395E"/>
    <w:rsid w:val="00645883"/>
    <w:rsid w:val="006466F6"/>
    <w:rsid w:val="00653749"/>
    <w:rsid w:val="0065611C"/>
    <w:rsid w:val="006652E6"/>
    <w:rsid w:val="00672B71"/>
    <w:rsid w:val="00674821"/>
    <w:rsid w:val="0067687A"/>
    <w:rsid w:val="00681BCC"/>
    <w:rsid w:val="00684CBF"/>
    <w:rsid w:val="00684CDA"/>
    <w:rsid w:val="00691528"/>
    <w:rsid w:val="006A3DBF"/>
    <w:rsid w:val="006A6379"/>
    <w:rsid w:val="006A7D8D"/>
    <w:rsid w:val="006B3129"/>
    <w:rsid w:val="006B4048"/>
    <w:rsid w:val="006C023A"/>
    <w:rsid w:val="006C481A"/>
    <w:rsid w:val="006C7275"/>
    <w:rsid w:val="006D069B"/>
    <w:rsid w:val="006D54DB"/>
    <w:rsid w:val="006D6ACF"/>
    <w:rsid w:val="006E00BF"/>
    <w:rsid w:val="006E2D7D"/>
    <w:rsid w:val="006F13C0"/>
    <w:rsid w:val="006F43E4"/>
    <w:rsid w:val="0070576C"/>
    <w:rsid w:val="00707AB0"/>
    <w:rsid w:val="00715890"/>
    <w:rsid w:val="007235E9"/>
    <w:rsid w:val="007246D7"/>
    <w:rsid w:val="00725332"/>
    <w:rsid w:val="007334B8"/>
    <w:rsid w:val="0075659D"/>
    <w:rsid w:val="0076371E"/>
    <w:rsid w:val="00764BD5"/>
    <w:rsid w:val="0077259F"/>
    <w:rsid w:val="0077577F"/>
    <w:rsid w:val="00780C0E"/>
    <w:rsid w:val="00797A27"/>
    <w:rsid w:val="007B7049"/>
    <w:rsid w:val="007C4714"/>
    <w:rsid w:val="007C5556"/>
    <w:rsid w:val="007C6AF9"/>
    <w:rsid w:val="007D216A"/>
    <w:rsid w:val="007D35C7"/>
    <w:rsid w:val="007D62B6"/>
    <w:rsid w:val="007E72FE"/>
    <w:rsid w:val="00803E0B"/>
    <w:rsid w:val="0080471A"/>
    <w:rsid w:val="00807B2E"/>
    <w:rsid w:val="00807F27"/>
    <w:rsid w:val="00810311"/>
    <w:rsid w:val="00814B57"/>
    <w:rsid w:val="00827BC2"/>
    <w:rsid w:val="0083211F"/>
    <w:rsid w:val="008349B8"/>
    <w:rsid w:val="008548D8"/>
    <w:rsid w:val="008557CA"/>
    <w:rsid w:val="008561E0"/>
    <w:rsid w:val="0086054F"/>
    <w:rsid w:val="00865C72"/>
    <w:rsid w:val="00876AE5"/>
    <w:rsid w:val="008773E1"/>
    <w:rsid w:val="00893D6A"/>
    <w:rsid w:val="00894171"/>
    <w:rsid w:val="008A4489"/>
    <w:rsid w:val="008A6F4E"/>
    <w:rsid w:val="008A7906"/>
    <w:rsid w:val="008B3A89"/>
    <w:rsid w:val="008C2DBB"/>
    <w:rsid w:val="008C431C"/>
    <w:rsid w:val="008D31DA"/>
    <w:rsid w:val="008D37D6"/>
    <w:rsid w:val="008D4590"/>
    <w:rsid w:val="008D4EA6"/>
    <w:rsid w:val="0090634D"/>
    <w:rsid w:val="0091722D"/>
    <w:rsid w:val="009314E7"/>
    <w:rsid w:val="009357AA"/>
    <w:rsid w:val="0094225D"/>
    <w:rsid w:val="0094394A"/>
    <w:rsid w:val="00943CD8"/>
    <w:rsid w:val="009511E8"/>
    <w:rsid w:val="0095166B"/>
    <w:rsid w:val="009517BD"/>
    <w:rsid w:val="009531A6"/>
    <w:rsid w:val="00953322"/>
    <w:rsid w:val="00954EE8"/>
    <w:rsid w:val="009661DD"/>
    <w:rsid w:val="00966D42"/>
    <w:rsid w:val="009760D1"/>
    <w:rsid w:val="00984E8E"/>
    <w:rsid w:val="00985CC1"/>
    <w:rsid w:val="00986B87"/>
    <w:rsid w:val="00990D02"/>
    <w:rsid w:val="009A10A5"/>
    <w:rsid w:val="009A57D7"/>
    <w:rsid w:val="009B0AB5"/>
    <w:rsid w:val="009D29CC"/>
    <w:rsid w:val="009D2C13"/>
    <w:rsid w:val="009D6811"/>
    <w:rsid w:val="009E3758"/>
    <w:rsid w:val="009E3BDA"/>
    <w:rsid w:val="009F61C5"/>
    <w:rsid w:val="00A0094B"/>
    <w:rsid w:val="00A02D66"/>
    <w:rsid w:val="00A17C00"/>
    <w:rsid w:val="00A30AD6"/>
    <w:rsid w:val="00A3288C"/>
    <w:rsid w:val="00A33A90"/>
    <w:rsid w:val="00A64109"/>
    <w:rsid w:val="00A71201"/>
    <w:rsid w:val="00A7236F"/>
    <w:rsid w:val="00A74B82"/>
    <w:rsid w:val="00A77F82"/>
    <w:rsid w:val="00A93527"/>
    <w:rsid w:val="00A95FF4"/>
    <w:rsid w:val="00AA64F3"/>
    <w:rsid w:val="00AB636C"/>
    <w:rsid w:val="00AC1B6D"/>
    <w:rsid w:val="00AF4B23"/>
    <w:rsid w:val="00AF7B8C"/>
    <w:rsid w:val="00B10588"/>
    <w:rsid w:val="00B109AA"/>
    <w:rsid w:val="00B12E1B"/>
    <w:rsid w:val="00B16B85"/>
    <w:rsid w:val="00B17FF7"/>
    <w:rsid w:val="00B2380D"/>
    <w:rsid w:val="00B25C61"/>
    <w:rsid w:val="00B2677F"/>
    <w:rsid w:val="00B2705E"/>
    <w:rsid w:val="00B62AC6"/>
    <w:rsid w:val="00B64CCD"/>
    <w:rsid w:val="00B90997"/>
    <w:rsid w:val="00B94CD4"/>
    <w:rsid w:val="00BA1493"/>
    <w:rsid w:val="00BB1A20"/>
    <w:rsid w:val="00BB1CA6"/>
    <w:rsid w:val="00BB49A7"/>
    <w:rsid w:val="00BD33F0"/>
    <w:rsid w:val="00C16DE5"/>
    <w:rsid w:val="00C221EB"/>
    <w:rsid w:val="00C24D48"/>
    <w:rsid w:val="00C25C1E"/>
    <w:rsid w:val="00C44CE6"/>
    <w:rsid w:val="00C50800"/>
    <w:rsid w:val="00C601F8"/>
    <w:rsid w:val="00C60FC9"/>
    <w:rsid w:val="00C80604"/>
    <w:rsid w:val="00C81AC3"/>
    <w:rsid w:val="00C9102F"/>
    <w:rsid w:val="00C978DE"/>
    <w:rsid w:val="00CA2CA2"/>
    <w:rsid w:val="00CB0D51"/>
    <w:rsid w:val="00CC23D7"/>
    <w:rsid w:val="00CC3C46"/>
    <w:rsid w:val="00CD08BE"/>
    <w:rsid w:val="00CD3306"/>
    <w:rsid w:val="00CD4060"/>
    <w:rsid w:val="00CE3EA1"/>
    <w:rsid w:val="00CF052E"/>
    <w:rsid w:val="00CF2723"/>
    <w:rsid w:val="00CF7943"/>
    <w:rsid w:val="00D116FC"/>
    <w:rsid w:val="00D12606"/>
    <w:rsid w:val="00D12A68"/>
    <w:rsid w:val="00D1372A"/>
    <w:rsid w:val="00D23D47"/>
    <w:rsid w:val="00D34195"/>
    <w:rsid w:val="00D36D1A"/>
    <w:rsid w:val="00D4197F"/>
    <w:rsid w:val="00D43401"/>
    <w:rsid w:val="00D44520"/>
    <w:rsid w:val="00D44B46"/>
    <w:rsid w:val="00D5008F"/>
    <w:rsid w:val="00D64504"/>
    <w:rsid w:val="00D64CA4"/>
    <w:rsid w:val="00D64E6F"/>
    <w:rsid w:val="00D677F6"/>
    <w:rsid w:val="00D71A68"/>
    <w:rsid w:val="00D77697"/>
    <w:rsid w:val="00D90650"/>
    <w:rsid w:val="00D90E58"/>
    <w:rsid w:val="00D91189"/>
    <w:rsid w:val="00D92F9D"/>
    <w:rsid w:val="00D93D66"/>
    <w:rsid w:val="00D94F7A"/>
    <w:rsid w:val="00DA0CC8"/>
    <w:rsid w:val="00DB3168"/>
    <w:rsid w:val="00DB6EA3"/>
    <w:rsid w:val="00DC0218"/>
    <w:rsid w:val="00DC66C4"/>
    <w:rsid w:val="00DD1FAA"/>
    <w:rsid w:val="00DE0A59"/>
    <w:rsid w:val="00DF1010"/>
    <w:rsid w:val="00DF2636"/>
    <w:rsid w:val="00E02B79"/>
    <w:rsid w:val="00E11E36"/>
    <w:rsid w:val="00E13683"/>
    <w:rsid w:val="00E16F58"/>
    <w:rsid w:val="00E413B7"/>
    <w:rsid w:val="00E414E8"/>
    <w:rsid w:val="00E41A3F"/>
    <w:rsid w:val="00E45F66"/>
    <w:rsid w:val="00E50961"/>
    <w:rsid w:val="00E74ED0"/>
    <w:rsid w:val="00E76734"/>
    <w:rsid w:val="00E80C99"/>
    <w:rsid w:val="00E83D19"/>
    <w:rsid w:val="00E84B55"/>
    <w:rsid w:val="00E967B6"/>
    <w:rsid w:val="00EA0263"/>
    <w:rsid w:val="00EB0695"/>
    <w:rsid w:val="00EB4652"/>
    <w:rsid w:val="00EB7ECB"/>
    <w:rsid w:val="00ED21F2"/>
    <w:rsid w:val="00ED2643"/>
    <w:rsid w:val="00ED7E18"/>
    <w:rsid w:val="00EE18F8"/>
    <w:rsid w:val="00EE6383"/>
    <w:rsid w:val="00EF0B03"/>
    <w:rsid w:val="00EF53A5"/>
    <w:rsid w:val="00F04FAD"/>
    <w:rsid w:val="00F073C3"/>
    <w:rsid w:val="00F14FCC"/>
    <w:rsid w:val="00F16A62"/>
    <w:rsid w:val="00F238F8"/>
    <w:rsid w:val="00F23958"/>
    <w:rsid w:val="00F25C43"/>
    <w:rsid w:val="00F26CA8"/>
    <w:rsid w:val="00F3462B"/>
    <w:rsid w:val="00F362B8"/>
    <w:rsid w:val="00F45CA3"/>
    <w:rsid w:val="00F51AFC"/>
    <w:rsid w:val="00F53AB2"/>
    <w:rsid w:val="00F5415B"/>
    <w:rsid w:val="00F57A8A"/>
    <w:rsid w:val="00F6067D"/>
    <w:rsid w:val="00F74632"/>
    <w:rsid w:val="00F82E31"/>
    <w:rsid w:val="00F84CC2"/>
    <w:rsid w:val="00F9482E"/>
    <w:rsid w:val="00FA388D"/>
    <w:rsid w:val="00FA4703"/>
    <w:rsid w:val="00FB416C"/>
    <w:rsid w:val="00FB4D13"/>
    <w:rsid w:val="00FC2016"/>
    <w:rsid w:val="00FC2801"/>
    <w:rsid w:val="00FE32D0"/>
    <w:rsid w:val="00FF2DD5"/>
    <w:rsid w:val="00FF73B0"/>
    <w:rsid w:val="00FF78BE"/>
    <w:rsid w:val="02AF493E"/>
    <w:rsid w:val="04363AE8"/>
    <w:rsid w:val="08C00220"/>
    <w:rsid w:val="0C733771"/>
    <w:rsid w:val="0C7D6818"/>
    <w:rsid w:val="0C923DAD"/>
    <w:rsid w:val="0CC7379C"/>
    <w:rsid w:val="0D5D0CEA"/>
    <w:rsid w:val="11B221A7"/>
    <w:rsid w:val="11BA34C8"/>
    <w:rsid w:val="12AB43E5"/>
    <w:rsid w:val="138A4AAB"/>
    <w:rsid w:val="14694140"/>
    <w:rsid w:val="153F25A2"/>
    <w:rsid w:val="15A873FC"/>
    <w:rsid w:val="168C3ADE"/>
    <w:rsid w:val="17807B4D"/>
    <w:rsid w:val="181E14D7"/>
    <w:rsid w:val="184B14B9"/>
    <w:rsid w:val="184E40DF"/>
    <w:rsid w:val="19107042"/>
    <w:rsid w:val="198A073E"/>
    <w:rsid w:val="1B1F6C05"/>
    <w:rsid w:val="1E43381B"/>
    <w:rsid w:val="1E4B053E"/>
    <w:rsid w:val="21FA29BE"/>
    <w:rsid w:val="245D3185"/>
    <w:rsid w:val="24EA1215"/>
    <w:rsid w:val="25754369"/>
    <w:rsid w:val="25A30662"/>
    <w:rsid w:val="267608FD"/>
    <w:rsid w:val="26A63C5B"/>
    <w:rsid w:val="281C077C"/>
    <w:rsid w:val="286A175E"/>
    <w:rsid w:val="28744159"/>
    <w:rsid w:val="288E6404"/>
    <w:rsid w:val="2A146CB8"/>
    <w:rsid w:val="2A906D9E"/>
    <w:rsid w:val="2C06674D"/>
    <w:rsid w:val="2E9A55ED"/>
    <w:rsid w:val="2EE163D3"/>
    <w:rsid w:val="2F7E22CA"/>
    <w:rsid w:val="2F8F3AD4"/>
    <w:rsid w:val="2FFD7B4F"/>
    <w:rsid w:val="3049070C"/>
    <w:rsid w:val="309466FB"/>
    <w:rsid w:val="32CA668D"/>
    <w:rsid w:val="35716917"/>
    <w:rsid w:val="36CB20C5"/>
    <w:rsid w:val="382E6200"/>
    <w:rsid w:val="3870246B"/>
    <w:rsid w:val="388C7258"/>
    <w:rsid w:val="38BC53BD"/>
    <w:rsid w:val="3BB635EE"/>
    <w:rsid w:val="3FFA68BE"/>
    <w:rsid w:val="406048E3"/>
    <w:rsid w:val="40FA5D5F"/>
    <w:rsid w:val="410F18A2"/>
    <w:rsid w:val="41B10E2E"/>
    <w:rsid w:val="41EC178B"/>
    <w:rsid w:val="424D6604"/>
    <w:rsid w:val="428A0411"/>
    <w:rsid w:val="42C877A1"/>
    <w:rsid w:val="461763A0"/>
    <w:rsid w:val="486E6474"/>
    <w:rsid w:val="4AA63D92"/>
    <w:rsid w:val="4ABE60FB"/>
    <w:rsid w:val="4CC92DDF"/>
    <w:rsid w:val="4D53728C"/>
    <w:rsid w:val="4DF41C6A"/>
    <w:rsid w:val="51FD1B93"/>
    <w:rsid w:val="531A52BB"/>
    <w:rsid w:val="54FF3DA0"/>
    <w:rsid w:val="550D1203"/>
    <w:rsid w:val="55855314"/>
    <w:rsid w:val="55AE17CE"/>
    <w:rsid w:val="55FD6F6C"/>
    <w:rsid w:val="56782C63"/>
    <w:rsid w:val="56E00E7F"/>
    <w:rsid w:val="57411FD8"/>
    <w:rsid w:val="582E27DF"/>
    <w:rsid w:val="58C245CC"/>
    <w:rsid w:val="5B965EE1"/>
    <w:rsid w:val="5D860F96"/>
    <w:rsid w:val="603267E1"/>
    <w:rsid w:val="64802A79"/>
    <w:rsid w:val="648306D0"/>
    <w:rsid w:val="65604E33"/>
    <w:rsid w:val="66B34455"/>
    <w:rsid w:val="66CE1EAD"/>
    <w:rsid w:val="69500042"/>
    <w:rsid w:val="69A9668F"/>
    <w:rsid w:val="69F60140"/>
    <w:rsid w:val="6BA904AF"/>
    <w:rsid w:val="6E284AFC"/>
    <w:rsid w:val="70177388"/>
    <w:rsid w:val="71EF7DB8"/>
    <w:rsid w:val="71F26047"/>
    <w:rsid w:val="72F24666"/>
    <w:rsid w:val="736D453C"/>
    <w:rsid w:val="73C116F2"/>
    <w:rsid w:val="75CC6EF9"/>
    <w:rsid w:val="75DA2C87"/>
    <w:rsid w:val="761C3EA4"/>
    <w:rsid w:val="769409F0"/>
    <w:rsid w:val="771828FF"/>
    <w:rsid w:val="79D042F9"/>
    <w:rsid w:val="7A5414E4"/>
    <w:rsid w:val="7AFC08D6"/>
    <w:rsid w:val="7B7A1F17"/>
    <w:rsid w:val="7D660625"/>
    <w:rsid w:val="7D883C86"/>
    <w:rsid w:val="7E0946C8"/>
    <w:rsid w:val="7EB41559"/>
    <w:rsid w:val="7FA3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61576"/>
  <w15:docId w15:val="{C20FAE48-7F80-45B6-9D2C-3E306252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pPr>
      <w:widowControl w:val="0"/>
      <w:jc w:val="both"/>
    </w:pPr>
    <w:rPr>
      <w:kern w:val="2"/>
      <w:sz w:val="32"/>
      <w:szCs w:val="32"/>
    </w:rPr>
  </w:style>
  <w:style w:type="paragraph" w:styleId="1">
    <w:name w:val="heading 1"/>
    <w:basedOn w:val="a5"/>
    <w:next w:val="a5"/>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qFormat/>
    <w:pPr>
      <w:keepNext/>
      <w:keepLines/>
      <w:numPr>
        <w:ilvl w:val="1"/>
        <w:numId w:val="1"/>
      </w:numPr>
      <w:spacing w:before="260" w:after="260" w:line="413" w:lineRule="auto"/>
      <w:outlineLvl w:val="1"/>
    </w:pPr>
    <w:rPr>
      <w:rFonts w:ascii="Arial" w:eastAsia="黑体" w:hAnsi="Arial"/>
      <w:b/>
    </w:rPr>
  </w:style>
  <w:style w:type="paragraph" w:styleId="3">
    <w:name w:val="heading 3"/>
    <w:basedOn w:val="a5"/>
    <w:next w:val="a5"/>
    <w:qFormat/>
    <w:pPr>
      <w:keepNext/>
      <w:keepLines/>
      <w:numPr>
        <w:ilvl w:val="2"/>
        <w:numId w:val="1"/>
      </w:numPr>
      <w:spacing w:before="260" w:after="260" w:line="413" w:lineRule="auto"/>
      <w:outlineLvl w:val="2"/>
    </w:pPr>
    <w:rPr>
      <w:b/>
    </w:rPr>
  </w:style>
  <w:style w:type="paragraph" w:styleId="4">
    <w:name w:val="heading 4"/>
    <w:basedOn w:val="a5"/>
    <w:next w:val="a5"/>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5"/>
    <w:next w:val="a5"/>
    <w:qFormat/>
    <w:pPr>
      <w:keepNext/>
      <w:keepLines/>
      <w:numPr>
        <w:ilvl w:val="4"/>
        <w:numId w:val="1"/>
      </w:numPr>
      <w:spacing w:before="280" w:after="290" w:line="372" w:lineRule="auto"/>
      <w:outlineLvl w:val="4"/>
    </w:pPr>
    <w:rPr>
      <w:b/>
      <w:sz w:val="28"/>
    </w:rPr>
  </w:style>
  <w:style w:type="paragraph" w:styleId="6">
    <w:name w:val="heading 6"/>
    <w:basedOn w:val="a5"/>
    <w:next w:val="a5"/>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5"/>
    <w:next w:val="a5"/>
    <w:qFormat/>
    <w:pPr>
      <w:keepNext/>
      <w:keepLines/>
      <w:numPr>
        <w:ilvl w:val="6"/>
        <w:numId w:val="1"/>
      </w:numPr>
      <w:spacing w:before="240" w:after="64" w:line="317" w:lineRule="auto"/>
      <w:outlineLvl w:val="6"/>
    </w:pPr>
    <w:rPr>
      <w:b/>
      <w:sz w:val="24"/>
    </w:rPr>
  </w:style>
  <w:style w:type="paragraph" w:styleId="8">
    <w:name w:val="heading 8"/>
    <w:basedOn w:val="a5"/>
    <w:next w:val="a5"/>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5"/>
    <w:next w:val="a5"/>
    <w:qFormat/>
    <w:pPr>
      <w:keepNext/>
      <w:keepLines/>
      <w:numPr>
        <w:ilvl w:val="8"/>
        <w:numId w:val="1"/>
      </w:numPr>
      <w:spacing w:before="240" w:after="64" w:line="317" w:lineRule="auto"/>
      <w:outlineLvl w:val="8"/>
    </w:pPr>
    <w:rPr>
      <w:rFonts w:ascii="Arial" w:eastAsia="黑体" w:hAnsi="Arial"/>
      <w:sz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text"/>
    <w:basedOn w:val="a5"/>
    <w:link w:val="aa"/>
    <w:uiPriority w:val="99"/>
    <w:qFormat/>
    <w:pPr>
      <w:jc w:val="left"/>
    </w:pPr>
  </w:style>
  <w:style w:type="paragraph" w:styleId="ab">
    <w:name w:val="Body Text"/>
    <w:basedOn w:val="a5"/>
    <w:qFormat/>
    <w:pPr>
      <w:autoSpaceDE w:val="0"/>
      <w:autoSpaceDN w:val="0"/>
      <w:jc w:val="left"/>
    </w:pPr>
    <w:rPr>
      <w:rFonts w:ascii="宋体" w:hAnsi="宋体" w:cs="宋体"/>
      <w:kern w:val="0"/>
      <w:szCs w:val="21"/>
      <w:lang w:val="zh-CN" w:bidi="zh-CN"/>
    </w:rPr>
  </w:style>
  <w:style w:type="paragraph" w:styleId="TOC3">
    <w:name w:val="toc 3"/>
    <w:basedOn w:val="a5"/>
    <w:next w:val="a5"/>
    <w:uiPriority w:val="39"/>
    <w:unhideWhenUsed/>
    <w:qFormat/>
    <w:pPr>
      <w:widowControl/>
      <w:spacing w:after="100" w:line="276" w:lineRule="auto"/>
      <w:ind w:left="440"/>
      <w:jc w:val="left"/>
    </w:pPr>
    <w:rPr>
      <w:kern w:val="0"/>
      <w:sz w:val="22"/>
      <w:szCs w:val="22"/>
    </w:rPr>
  </w:style>
  <w:style w:type="paragraph" w:styleId="ac">
    <w:name w:val="Balloon Text"/>
    <w:basedOn w:val="a5"/>
    <w:link w:val="ad"/>
    <w:uiPriority w:val="99"/>
    <w:qFormat/>
    <w:rPr>
      <w:sz w:val="18"/>
      <w:szCs w:val="18"/>
    </w:rPr>
  </w:style>
  <w:style w:type="paragraph" w:styleId="ae">
    <w:name w:val="footer"/>
    <w:basedOn w:val="a5"/>
    <w:link w:val="af"/>
    <w:uiPriority w:val="99"/>
    <w:qFormat/>
    <w:pPr>
      <w:tabs>
        <w:tab w:val="center" w:pos="4153"/>
        <w:tab w:val="right" w:pos="8306"/>
      </w:tabs>
      <w:snapToGrid w:val="0"/>
      <w:jc w:val="left"/>
    </w:pPr>
    <w:rPr>
      <w:sz w:val="18"/>
      <w:szCs w:val="18"/>
    </w:rPr>
  </w:style>
  <w:style w:type="paragraph" w:styleId="af0">
    <w:name w:val="header"/>
    <w:basedOn w:val="a5"/>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unhideWhenUsed/>
    <w:qFormat/>
    <w:pPr>
      <w:widowControl/>
      <w:spacing w:after="100" w:line="276" w:lineRule="auto"/>
      <w:jc w:val="left"/>
    </w:pPr>
    <w:rPr>
      <w:kern w:val="0"/>
      <w:sz w:val="22"/>
      <w:szCs w:val="22"/>
    </w:rPr>
  </w:style>
  <w:style w:type="paragraph" w:styleId="TOC2">
    <w:name w:val="toc 2"/>
    <w:basedOn w:val="a5"/>
    <w:next w:val="a5"/>
    <w:uiPriority w:val="39"/>
    <w:qFormat/>
    <w:pPr>
      <w:tabs>
        <w:tab w:val="right" w:leader="dot" w:pos="9241"/>
      </w:tabs>
    </w:pPr>
    <w:rPr>
      <w:rFonts w:ascii="宋体"/>
      <w:szCs w:val="21"/>
    </w:rPr>
  </w:style>
  <w:style w:type="paragraph" w:styleId="af1">
    <w:name w:val="Normal (Web)"/>
    <w:basedOn w:val="a5"/>
    <w:qFormat/>
    <w:rPr>
      <w:sz w:val="24"/>
    </w:rPr>
  </w:style>
  <w:style w:type="paragraph" w:styleId="10">
    <w:name w:val="index 1"/>
    <w:basedOn w:val="a5"/>
    <w:next w:val="af2"/>
    <w:qFormat/>
    <w:pPr>
      <w:tabs>
        <w:tab w:val="right" w:leader="dot" w:pos="9299"/>
      </w:tabs>
      <w:jc w:val="left"/>
    </w:pPr>
    <w:rPr>
      <w:rFonts w:ascii="宋体"/>
      <w:sz w:val="21"/>
      <w:szCs w:val="21"/>
    </w:rPr>
  </w:style>
  <w:style w:type="paragraph" w:customStyle="1" w:styleId="af2">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3">
    <w:name w:val="annotation subject"/>
    <w:basedOn w:val="a9"/>
    <w:next w:val="a9"/>
    <w:link w:val="af4"/>
    <w:qFormat/>
    <w:rPr>
      <w:b/>
      <w:bCs/>
    </w:rPr>
  </w:style>
  <w:style w:type="table" w:styleId="af5">
    <w:name w:val="Table Grid"/>
    <w:basedOn w:val="a7"/>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qFormat/>
  </w:style>
  <w:style w:type="character" w:styleId="af7">
    <w:name w:val="Hyperlink"/>
    <w:uiPriority w:val="99"/>
    <w:qFormat/>
    <w:rPr>
      <w:color w:val="0000FF"/>
      <w:spacing w:val="0"/>
      <w:w w:val="100"/>
      <w:szCs w:val="21"/>
      <w:u w:val="single"/>
    </w:rPr>
  </w:style>
  <w:style w:type="character" w:styleId="af8">
    <w:name w:val="annotation reference"/>
    <w:qFormat/>
    <w:rPr>
      <w:sz w:val="21"/>
      <w:szCs w:val="21"/>
    </w:rPr>
  </w:style>
  <w:style w:type="character" w:customStyle="1" w:styleId="aa">
    <w:name w:val="批注文字 字符"/>
    <w:link w:val="a9"/>
    <w:uiPriority w:val="99"/>
    <w:qFormat/>
    <w:rPr>
      <w:kern w:val="2"/>
      <w:sz w:val="32"/>
      <w:szCs w:val="32"/>
    </w:rPr>
  </w:style>
  <w:style w:type="character" w:customStyle="1" w:styleId="ad">
    <w:name w:val="批注框文本 字符"/>
    <w:link w:val="ac"/>
    <w:uiPriority w:val="99"/>
    <w:qFormat/>
    <w:rPr>
      <w:kern w:val="2"/>
      <w:sz w:val="18"/>
      <w:szCs w:val="18"/>
    </w:rPr>
  </w:style>
  <w:style w:type="character" w:customStyle="1" w:styleId="af">
    <w:name w:val="页脚 字符"/>
    <w:link w:val="ae"/>
    <w:uiPriority w:val="99"/>
    <w:qFormat/>
    <w:rPr>
      <w:kern w:val="2"/>
      <w:sz w:val="18"/>
      <w:szCs w:val="18"/>
    </w:rPr>
  </w:style>
  <w:style w:type="character" w:customStyle="1" w:styleId="af4">
    <w:name w:val="批注主题 字符"/>
    <w:link w:val="af3"/>
    <w:qFormat/>
    <w:rPr>
      <w:b/>
      <w:bCs/>
      <w:kern w:val="2"/>
      <w:sz w:val="32"/>
      <w:szCs w:val="32"/>
    </w:rPr>
  </w:style>
  <w:style w:type="paragraph" w:customStyle="1" w:styleId="af9">
    <w:name w:val="名称"/>
    <w:basedOn w:val="afa"/>
    <w:next w:val="af2"/>
    <w:qFormat/>
    <w:pPr>
      <w:spacing w:line="460" w:lineRule="exact"/>
      <w:outlineLvl w:val="9"/>
    </w:pPr>
  </w:style>
  <w:style w:type="paragraph" w:customStyle="1" w:styleId="afa">
    <w:name w:val="前言、引言标题"/>
    <w:next w:val="a5"/>
    <w:qFormat/>
    <w:pPr>
      <w:keepNext/>
      <w:pageBreakBefore/>
      <w:shd w:val="clear" w:color="FFFFFF" w:fill="FFFFFF"/>
      <w:spacing w:before="640" w:after="560"/>
      <w:jc w:val="center"/>
      <w:outlineLvl w:val="0"/>
    </w:pPr>
    <w:rPr>
      <w:rFonts w:ascii="黑体" w:eastAsia="黑体"/>
      <w:sz w:val="32"/>
    </w:rPr>
  </w:style>
  <w:style w:type="paragraph" w:customStyle="1" w:styleId="a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c">
    <w:name w:val="公式编号制表符"/>
    <w:basedOn w:val="a5"/>
    <w:next w:val="a5"/>
    <w:qFormat/>
    <w:pPr>
      <w:widowControl/>
      <w:tabs>
        <w:tab w:val="center" w:pos="4679"/>
        <w:tab w:val="right" w:leader="dot" w:pos="9299"/>
      </w:tabs>
      <w:autoSpaceDE w:val="0"/>
      <w:autoSpaceDN w:val="0"/>
      <w:textAlignment w:val="center"/>
    </w:pPr>
    <w:rPr>
      <w:rFonts w:ascii="宋体"/>
      <w:kern w:val="0"/>
      <w:szCs w:val="20"/>
    </w:rPr>
  </w:style>
  <w:style w:type="paragraph" w:customStyle="1" w:styleId="afd">
    <w:name w:val="术语定义一级条标题"/>
    <w:qFormat/>
    <w:rPr>
      <w:rFonts w:ascii="黑体" w:eastAsia="黑体" w:hAnsi="宋体" w:hint="eastAsia"/>
      <w:sz w:val="21"/>
      <w:szCs w:val="21"/>
    </w:rPr>
  </w:style>
  <w:style w:type="paragraph" w:customStyle="1" w:styleId="afe">
    <w:name w:val="标准书眉_奇数页"/>
    <w:next w:val="a5"/>
    <w:qFormat/>
    <w:pPr>
      <w:tabs>
        <w:tab w:val="center" w:pos="4154"/>
        <w:tab w:val="right" w:pos="8306"/>
      </w:tabs>
      <w:spacing w:after="220"/>
      <w:jc w:val="right"/>
    </w:pPr>
    <w:rPr>
      <w:rFonts w:ascii="黑体" w:eastAsia="黑体"/>
      <w:sz w:val="21"/>
      <w:szCs w:val="21"/>
    </w:rPr>
  </w:style>
  <w:style w:type="paragraph" w:customStyle="1" w:styleId="aff">
    <w:name w:val="注："/>
    <w:basedOn w:val="a5"/>
    <w:qFormat/>
    <w:pPr>
      <w:autoSpaceDE w:val="0"/>
      <w:autoSpaceDN w:val="0"/>
      <w:ind w:left="726" w:hanging="363"/>
    </w:pPr>
    <w:rPr>
      <w:rFonts w:ascii="宋体" w:hAnsi="宋体" w:hint="eastAsia"/>
      <w:kern w:val="0"/>
      <w:sz w:val="18"/>
      <w:szCs w:val="18"/>
    </w:rPr>
  </w:style>
  <w:style w:type="paragraph" w:customStyle="1" w:styleId="a4">
    <w:name w:val="附录标识"/>
    <w:basedOn w:val="a5"/>
    <w:next w:val="a5"/>
    <w:qFormat/>
    <w:pPr>
      <w:keepNext/>
      <w:widowControl/>
      <w:numPr>
        <w:numId w:val="2"/>
      </w:numPr>
      <w:shd w:val="clear" w:color="FFFFFF" w:fill="FFFFFF"/>
      <w:spacing w:before="640" w:after="280"/>
      <w:jc w:val="center"/>
      <w:outlineLvl w:val="0"/>
    </w:pPr>
    <w:rPr>
      <w:rFonts w:ascii="黑体" w:eastAsia="黑体"/>
      <w:kern w:val="0"/>
      <w:szCs w:val="20"/>
    </w:rPr>
  </w:style>
  <w:style w:type="paragraph" w:customStyle="1" w:styleId="a3">
    <w:name w:val="正文表标题"/>
    <w:next w:val="af2"/>
    <w:qFormat/>
    <w:pPr>
      <w:numPr>
        <w:numId w:val="3"/>
      </w:numPr>
      <w:tabs>
        <w:tab w:val="left" w:pos="360"/>
      </w:tabs>
      <w:spacing w:beforeLines="50" w:afterLines="50"/>
      <w:ind w:left="0"/>
      <w:jc w:val="center"/>
    </w:pPr>
    <w:rPr>
      <w:rFonts w:ascii="黑体" w:eastAsia="黑体"/>
      <w:sz w:val="21"/>
    </w:rPr>
  </w:style>
  <w:style w:type="paragraph" w:customStyle="1" w:styleId="a2">
    <w:name w:val="附录表标题"/>
    <w:basedOn w:val="a5"/>
    <w:next w:val="af2"/>
    <w:qFormat/>
    <w:pPr>
      <w:numPr>
        <w:ilvl w:val="1"/>
        <w:numId w:val="4"/>
      </w:numPr>
      <w:tabs>
        <w:tab w:val="left" w:pos="180"/>
      </w:tabs>
      <w:spacing w:beforeLines="50" w:afterLines="50"/>
      <w:ind w:left="0" w:firstLine="0"/>
      <w:jc w:val="center"/>
    </w:pPr>
    <w:rPr>
      <w:rFonts w:ascii="黑体" w:eastAsia="黑体"/>
      <w:szCs w:val="21"/>
    </w:rPr>
  </w:style>
  <w:style w:type="paragraph" w:styleId="aff0">
    <w:name w:val="List Paragraph"/>
    <w:basedOn w:val="a5"/>
    <w:uiPriority w:val="99"/>
    <w:qFormat/>
    <w:pPr>
      <w:spacing w:beforeLines="50" w:afterLines="50" w:line="360" w:lineRule="auto"/>
      <w:ind w:firstLineChars="200" w:firstLine="420"/>
    </w:pPr>
    <w:rPr>
      <w:sz w:val="24"/>
    </w:rPr>
  </w:style>
  <w:style w:type="paragraph" w:customStyle="1" w:styleId="aff1">
    <w:name w:val="其他发布日期"/>
    <w:basedOn w:val="a5"/>
    <w:qFormat/>
    <w:pPr>
      <w:framePr w:w="3997" w:h="471" w:hRule="exact" w:vSpace="181" w:wrap="around" w:vAnchor="page" w:hAnchor="text" w:x="1419" w:y="14097" w:anchorLock="1"/>
      <w:widowControl/>
      <w:jc w:val="left"/>
    </w:pPr>
    <w:rPr>
      <w:rFonts w:eastAsia="黑体"/>
      <w:kern w:val="0"/>
      <w:sz w:val="28"/>
      <w:szCs w:val="20"/>
    </w:rPr>
  </w:style>
  <w:style w:type="paragraph" w:customStyle="1" w:styleId="aff2">
    <w:name w:val="式中"/>
    <w:qFormat/>
    <w:pPr>
      <w:ind w:leftChars="200" w:left="200"/>
    </w:pPr>
    <w:rPr>
      <w:rFonts w:ascii="宋体"/>
      <w:sz w:val="21"/>
    </w:rPr>
  </w:style>
  <w:style w:type="paragraph" w:customStyle="1" w:styleId="aff3">
    <w:name w:val="目次、标准名称标题"/>
    <w:basedOn w:val="a5"/>
    <w:next w:val="af2"/>
    <w:qFormat/>
    <w:pPr>
      <w:keepNext/>
      <w:pageBreakBefore/>
      <w:widowControl/>
      <w:shd w:val="clear" w:color="FFFFFF" w:fill="FFFFFF"/>
      <w:spacing w:before="640" w:after="560" w:line="460" w:lineRule="exact"/>
      <w:jc w:val="center"/>
      <w:outlineLvl w:val="0"/>
    </w:pPr>
    <w:rPr>
      <w:rFonts w:ascii="黑体" w:eastAsia="黑体"/>
      <w:kern w:val="0"/>
      <w:szCs w:val="20"/>
    </w:rPr>
  </w:style>
  <w:style w:type="paragraph" w:customStyle="1" w:styleId="TOC10">
    <w:name w:val="TOC 标题1"/>
    <w:basedOn w:val="1"/>
    <w:next w:val="a5"/>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aff4">
    <w:name w:val="标准书眉_偶数页"/>
    <w:basedOn w:val="afe"/>
    <w:next w:val="a5"/>
    <w:qFormat/>
    <w:pPr>
      <w:jc w:val="left"/>
    </w:pPr>
  </w:style>
  <w:style w:type="paragraph" w:customStyle="1" w:styleId="WPSOffice1">
    <w:name w:val="WPSOffice手动目录 1"/>
    <w:qFormat/>
  </w:style>
  <w:style w:type="paragraph" w:customStyle="1" w:styleId="a">
    <w:name w:val="章标题"/>
    <w:next w:val="af2"/>
    <w:qFormat/>
    <w:pPr>
      <w:numPr>
        <w:numId w:val="5"/>
      </w:numPr>
      <w:spacing w:beforeLines="100" w:before="312" w:afterLines="100" w:after="312"/>
      <w:jc w:val="both"/>
      <w:outlineLvl w:val="1"/>
    </w:pPr>
    <w:rPr>
      <w:rFonts w:ascii="黑体" w:eastAsia="黑体"/>
      <w:sz w:val="21"/>
    </w:rPr>
  </w:style>
  <w:style w:type="paragraph" w:customStyle="1" w:styleId="aff5">
    <w:name w:val="封面标准英文名称"/>
    <w:basedOn w:val="a5"/>
    <w:qFormat/>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aff6">
    <w:name w:val="标准书脚_奇数页"/>
    <w:qFormat/>
    <w:pPr>
      <w:spacing w:before="120"/>
      <w:ind w:right="198"/>
      <w:jc w:val="right"/>
    </w:pPr>
    <w:rPr>
      <w:rFonts w:ascii="宋体"/>
      <w:sz w:val="18"/>
      <w:szCs w:val="18"/>
    </w:rPr>
  </w:style>
  <w:style w:type="paragraph" w:customStyle="1" w:styleId="11">
    <w:name w:val="列表段落1"/>
    <w:basedOn w:val="a5"/>
    <w:uiPriority w:val="99"/>
    <w:qFormat/>
    <w:pPr>
      <w:ind w:firstLineChars="200" w:firstLine="420"/>
    </w:pPr>
  </w:style>
  <w:style w:type="paragraph" w:customStyle="1" w:styleId="aff7">
    <w:name w:val="标准书脚_偶数页"/>
    <w:qFormat/>
    <w:pPr>
      <w:spacing w:before="120"/>
      <w:ind w:left="221"/>
    </w:pPr>
    <w:rPr>
      <w:rFonts w:ascii="宋体"/>
      <w:sz w:val="18"/>
      <w:szCs w:val="18"/>
    </w:rPr>
  </w:style>
  <w:style w:type="paragraph" w:customStyle="1" w:styleId="WPSOffice2">
    <w:name w:val="WPSOffice手动目录 2"/>
    <w:qFormat/>
    <w:pPr>
      <w:ind w:leftChars="200" w:left="200"/>
    </w:pPr>
  </w:style>
  <w:style w:type="paragraph" w:customStyle="1" w:styleId="a1">
    <w:name w:val="数字编号列项（二级）"/>
    <w:qFormat/>
    <w:pPr>
      <w:numPr>
        <w:ilvl w:val="1"/>
        <w:numId w:val="6"/>
      </w:numPr>
      <w:jc w:val="both"/>
    </w:pPr>
    <w:rPr>
      <w:rFonts w:ascii="宋体"/>
      <w:sz w:val="21"/>
    </w:rPr>
  </w:style>
  <w:style w:type="paragraph" w:customStyle="1" w:styleId="a0">
    <w:name w:val="一级条标题"/>
    <w:next w:val="af2"/>
    <w:qFormat/>
    <w:pPr>
      <w:numPr>
        <w:ilvl w:val="1"/>
        <w:numId w:val="5"/>
      </w:numPr>
      <w:spacing w:beforeLines="50" w:afterLines="50"/>
      <w:outlineLvl w:val="2"/>
    </w:pPr>
    <w:rPr>
      <w:rFonts w:ascii="黑体" w:eastAsia="黑体"/>
      <w:sz w:val="21"/>
      <w:szCs w:val="21"/>
    </w:rPr>
  </w:style>
  <w:style w:type="paragraph" w:customStyle="1" w:styleId="aff8">
    <w:name w:val="封面一致性程度标识"/>
    <w:basedOn w:val="aff5"/>
    <w:qFormat/>
    <w:pPr>
      <w:framePr w:wrap="around"/>
      <w:spacing w:before="440"/>
    </w:pPr>
    <w:rPr>
      <w:rFonts w:ascii="宋体" w:eastAsia="宋体"/>
    </w:rPr>
  </w:style>
  <w:style w:type="paragraph" w:customStyle="1" w:styleId="aff9">
    <w:name w:val="封面标准文稿类别"/>
    <w:basedOn w:val="a5"/>
    <w:qFormat/>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fa">
    <w:name w:val="封面标准文稿编辑信息"/>
    <w:basedOn w:val="aff9"/>
    <w:qFormat/>
    <w:pPr>
      <w:framePr w:wrap="around"/>
      <w:spacing w:before="180" w:line="180" w:lineRule="exact"/>
    </w:pPr>
    <w:rPr>
      <w:sz w:val="21"/>
    </w:rPr>
  </w:style>
  <w:style w:type="character" w:styleId="affb">
    <w:name w:val="Placeholder Text"/>
    <w:basedOn w:val="a6"/>
    <w:uiPriority w:val="99"/>
    <w:unhideWhenUsed/>
    <w:qFormat/>
    <w:rPr>
      <w:color w:val="666666"/>
    </w:rPr>
  </w:style>
  <w:style w:type="character" w:customStyle="1" w:styleId="Char">
    <w:name w:val="段 Char"/>
    <w:link w:val="af2"/>
    <w:qFormat/>
    <w:rPr>
      <w:rFonts w:ascii="宋体"/>
      <w:sz w:val="21"/>
    </w:rPr>
  </w:style>
  <w:style w:type="paragraph" w:customStyle="1" w:styleId="affc">
    <w:name w:val="公式"/>
    <w:basedOn w:val="a5"/>
    <w:link w:val="affd"/>
    <w:qFormat/>
    <w:pPr>
      <w:tabs>
        <w:tab w:val="center" w:leader="dot" w:pos="6400"/>
        <w:tab w:val="right" w:leader="middleDot" w:pos="12800"/>
      </w:tabs>
      <w:jc w:val="center"/>
    </w:pPr>
    <w:rPr>
      <w:sz w:val="21"/>
      <w:szCs w:val="21"/>
    </w:rPr>
  </w:style>
  <w:style w:type="character" w:customStyle="1" w:styleId="affd">
    <w:name w:val="公式 字符"/>
    <w:basedOn w:val="a6"/>
    <w:link w:val="affc"/>
    <w:qFormat/>
    <w:rPr>
      <w:kern w:val="2"/>
      <w:sz w:val="21"/>
      <w:szCs w:val="21"/>
    </w:rPr>
  </w:style>
  <w:style w:type="paragraph" w:customStyle="1" w:styleId="affe">
    <w:name w:val="表标题"/>
    <w:basedOn w:val="a5"/>
    <w:qFormat/>
    <w:pPr>
      <w:widowControl/>
      <w:spacing w:beforeLines="25" w:afterLines="25"/>
      <w:jc w:val="center"/>
    </w:pPr>
    <w:rPr>
      <w:rFonts w:ascii="宋体" w:eastAsia="黑体" w:hAnsi="宋体" w:cs="宋体"/>
      <w:b/>
      <w:bCs/>
      <w:kern w:val="0"/>
      <w:sz w:val="21"/>
      <w:szCs w:val="21"/>
    </w:rPr>
  </w:style>
  <w:style w:type="paragraph" w:customStyle="1" w:styleId="12">
    <w:name w:val="修订1"/>
    <w:hidden/>
    <w:uiPriority w:val="99"/>
    <w:unhideWhenUsed/>
    <w:qFormat/>
    <w:rPr>
      <w:kern w:val="2"/>
      <w:sz w:val="32"/>
      <w:szCs w:val="32"/>
    </w:rPr>
  </w:style>
  <w:style w:type="paragraph" w:styleId="afff">
    <w:name w:val="Revision"/>
    <w:hidden/>
    <w:uiPriority w:val="99"/>
    <w:unhideWhenUsed/>
    <w:rsid w:val="00E80C99"/>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d0c8ee2d-9065-41ac-a896-8ccfe97423c2</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7F4E1B38</paraID>
      <start>0</start>
      <end>3</end>
      <status>unmodified</status>
      <modifiedWord/>
      <trackRevisions>false</trackRevisions>
    </reviewItem>
    <reviewItem>
      <errorID>bf16e9e9-8c5a-4fe3-8b35-c7dc517db8cb</errorID>
      <errorWord>粘性的</errorWord>
      <group>L1_Word</group>
      <groupName>字词问题</groupName>
      <ability>L2_Alias</ability>
      <abilityName>也作/曾用词</abilityName>
      <candidateList>
        <item>黏性的</item>
      </candidateList>
      <explain>词汇[粘性的]为不规范表述或旧称，其规范书面表述为[黏性的]。</explain>
      <paraID>79082535</paraID>
      <start>17</start>
      <end>20</end>
      <status>unmodified</status>
      <modifiedWord/>
      <trackRevisions>false</trackRevisions>
    </reviewItem>
    <reviewItem>
      <errorID>02d612dc-4ae6-42af-bf31-a8ad41fbc462</errorID>
      <errorWord>(</errorWord>
      <group>L1_Format</group>
      <groupName>格式问题</groupName>
      <ability>L2_HalfPunc</ability>
      <abilityName>全半角检查</abilityName>
      <candidateList>
        <item>（</item>
      </candidateList>
      <explain>文本全半角错误。</explain>
      <paraID>3174C2AA</paraID>
      <start>49</start>
      <end>50</end>
      <status>unmodified</status>
      <modifiedWord/>
      <trackRevisions>false</trackRevisions>
    </reviewItem>
    <reviewItem>
      <errorID>9add000e-8c2e-4744-8299-118b7857b086</errorID>
      <errorWord>)</errorWord>
      <group>L1_Format</group>
      <groupName>格式问题</groupName>
      <ability>L2_HalfPunc</ability>
      <abilityName>全半角检查</abilityName>
      <candidateList>
        <item>）</item>
      </candidateList>
      <explain>文本全半角错误。</explain>
      <paraID>3174C2AA</paraID>
      <start>53</start>
      <end>54</end>
      <status>unmodified</status>
      <modifiedWord/>
      <trackRevisions>false</trackRevisions>
    </reviewItem>
    <reviewItem>
      <errorID>db34ce78-1440-43ca-bf16-1558f33638e3</errorID>
      <errorWord>铁</errorWord>
      <group>L1_Word</group>
      <groupName>字词问题</groupName>
      <ability>L2_Typo</ability>
      <abilityName>字词错误</abilityName>
      <candidateList>
        <item>铁等</item>
      </candidateList>
      <explain/>
      <paraID>249ACB6B</paraID>
      <start>106</start>
      <end>107</end>
      <status>unmodified</status>
      <modifiedWord/>
      <trackRevisions>false</trackRevisions>
    </reviewItem>
    <reviewItem>
      <errorID>8364c74a-1a10-4601-b705-98f9fe925b2f</errorID>
      <errorWord>站</errorWord>
      <group>L1_Word</group>
      <groupName>字词问题</groupName>
      <ability>L2_Typo</ability>
      <abilityName>字词错误</abilityName>
      <candidateList>
        <item>站等</item>
      </candidateList>
      <explain/>
      <paraID>249ACB6B</paraID>
      <start>108</start>
      <end>109</end>
      <status>unmodified</status>
      <modifiedWord/>
      <trackRevisions>false</trackRevisions>
    </reviewItem>
    <reviewItem>
      <errorID>809c9d22-f7e9-41ce-bcbb-46c707654afe</errorID>
      <errorWord>免于</errorWord>
      <group>L1_Word</group>
      <groupName>字词问题</groupName>
      <ability>L2_Typo</ability>
      <abilityName>字词错误</abilityName>
      <candidateList>
        <item>免予</item>
      </candidateList>
      <explain/>
      <paraID>617A8C21</paraID>
      <start>209</start>
      <end>211</end>
      <status>unmodified</status>
      <modifiedWord/>
      <trackRevisions>false</trackRevisions>
    </reviewItem>
    <reviewItem>
      <errorID>e28cf290-ff81-4a1e-af4b-73f61a8db46d</errorID>
      <errorWord>,</errorWord>
      <group>L1_Format</group>
      <groupName>格式问题</groupName>
      <ability>L2_HalfPunc</ability>
      <abilityName>全半角检查</abilityName>
      <candidateList>
        <item>，</item>
      </candidateList>
      <explain>文本全半角错误。</explain>
      <paraID>18AE4315</paraID>
      <start>13</start>
      <end>14</end>
      <status>unmodified</status>
      <modifiedWord/>
      <trackRevisions>false</trackRevisions>
    </reviewItem>
    <reviewItem>
      <errorID>a919c789-ea93-443d-b5f5-e58bdf5b9863</errorID>
      <errorWord>)</errorWord>
      <group>L1_Format</group>
      <groupName>格式问题</groupName>
      <ability>L2_HalfPunc</ability>
      <abilityName>全半角检查</abilityName>
      <candidateList>
        <item>）</item>
      </candidateList>
      <explain>文本全半角错误。</explain>
      <paraID>18AE4315</paraID>
      <start>41</start>
      <end>42</end>
      <status>unmodified</status>
      <modifiedWord/>
      <trackRevisions>false</trackRevisions>
    </reviewItem>
    <reviewItem>
      <errorID>b8af26f0-ea07-4622-9ca5-5160275c7537</errorID>
      <errorWord>任何的</errorWord>
      <group>L1_Word</group>
      <groupName>字词问题</groupName>
      <ability>L2_Typo</ability>
      <abilityName>字词错误</abilityName>
      <candidateList>
        <item>任何</item>
      </candidateList>
      <explain>〈代〉指示代词。不论什么：～人都要遵纪守法｜我们能够战胜～困难。</explain>
      <paraID>4E9775E3</paraID>
      <start>53</start>
      <end>56</end>
      <status>unmodified</status>
      <modifiedWord/>
      <trackRevisions>false</trackRevisions>
    </reviewItem>
    <reviewItem>
      <errorID>14e13aab-5bc9-4a55-b3f7-0d13a0687bd2</errorID>
      <errorWord>6百</errorWord>
      <group>L1_Knowledge</group>
      <groupName>知识性问题</groupName>
      <ability>L2_Knowledge</ability>
      <abilityName>其他知识</abilityName>
      <candidateList>
        <item>600</item>
      </candidateList>
      <explain/>
      <paraID>54BA0BE6</paraID>
      <start>4</start>
      <end>6</end>
      <status>unmodified</status>
      <modifiedWord/>
      <trackRevisions>false</trackRevisions>
    </reviewItem>
    <reviewItem>
      <errorID>954e6e0f-f120-4af5-b727-2766130ac980</errorID>
      <errorWord>(</errorWord>
      <group>L1_Format</group>
      <groupName>格式问题</groupName>
      <ability>L2_HalfPunc</ability>
      <abilityName>全半角检查</abilityName>
      <candidateList>
        <item>（</item>
      </candidateList>
      <explain>文本全半角错误。</explain>
      <paraID>729E50C2</paraID>
      <start>5</start>
      <end>6</end>
      <status>unmodified</status>
      <modifiedWord/>
      <trackRevisions>false</trackRevisions>
    </reviewItem>
    <reviewItem>
      <errorID>01882656-b3e2-4ab9-bb1f-c06029a8f505</errorID>
      <errorWord>)</errorWord>
      <group>L1_Format</group>
      <groupName>格式问题</groupName>
      <ability>L2_HalfPunc</ability>
      <abilityName>全半角检查</abilityName>
      <candidateList>
        <item>）</item>
      </candidateList>
      <explain>文本全半角错误。</explain>
      <paraID>729E50C2</paraID>
      <start>15</start>
      <end>16</end>
      <status>unmodified</status>
      <modifiedWord/>
      <trackRevisions>false</trackRevisions>
    </reviewItem>
    <reviewItem>
      <errorID>36afd658-e042-4a07-a22c-dd99209c3950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42B45E66</paraID>
      <start>12</start>
      <end>13</end>
      <status>unmodified</status>
      <modifiedWord/>
      <trackRevisions>false</trackRevisions>
    </reviewItem>
    <reviewItem>
      <errorID>39a19ab9-e74d-47b2-a6e1-5cb9a078f6e5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42B45E66</paraID>
      <start>62</start>
      <end>63</end>
      <status>unmodified</status>
      <modifiedWord/>
      <trackRevisions>false</trackRevisions>
    </reviewItem>
    <reviewItem>
      <errorID>64eadda6-4c92-4b12-b3a0-4bbb21685a1b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42B45E66</paraID>
      <start>77</start>
      <end>78</end>
      <status>unmodified</status>
      <modifiedWord/>
      <trackRevisions>false</trackRevisions>
    </reviewItem>
    <reviewItem>
      <errorID>fe572804-db28-407c-a519-08dbf97ed4d3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1C9647EC</paraID>
      <start>12</start>
      <end>13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1684-A634-4AEE-A604-B493746BC99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4C00C44-9D49-40D3-8B83-8C33F0A4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833</Words>
  <Characters>4749</Characters>
  <Application>Microsoft Office Word</Application>
  <DocSecurity>0</DocSecurity>
  <Lines>39</Lines>
  <Paragraphs>11</Paragraphs>
  <ScaleCrop>false</ScaleCrop>
  <Company>微软中国</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CEEX</cp:lastModifiedBy>
  <cp:revision>7</cp:revision>
  <cp:lastPrinted>2024-01-15T00:50:00Z</cp:lastPrinted>
  <dcterms:created xsi:type="dcterms:W3CDTF">2025-11-18T06:40:00Z</dcterms:created>
  <dcterms:modified xsi:type="dcterms:W3CDTF">2025-11-25T04:48:00Z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C6E487DF37FE4FAD99BA5FFC8A6E0678_13</vt:lpwstr>
  </property>
  <property fmtid="{D5CDD505-2E9C-101B-9397-08002B2CF9AE}" pid="4" name="KSOTemplateDocerSaveRecord">
    <vt:lpwstr>eyJoZGlkIjoiYzlkYWYyZTQ1ZTEzNjk4ZDgyZjlkMjdmNDJhY2YxY2EiLCJ1c2VySWQiOiIxMDU1NjkwNjQwIn0=</vt:lpwstr>
  </property>
</Properties>
</file>