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sz w:val="32"/>
          <w:szCs w:val="32"/>
          <w:lang w:val="en-US" w:eastAsia="zh-CN"/>
        </w:rPr>
      </w:pPr>
      <w:bookmarkStart w:id="0" w:name="OLE_LINK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adjustRightInd/>
        <w:snapToGrid/>
        <w:spacing w:after="0" w:line="600" w:lineRule="exact"/>
        <w:ind w:firstLine="0" w:firstLineChars="0"/>
        <w:jc w:val="center"/>
        <w:rPr>
          <w:rFonts w:hint="eastAsia" w:ascii="方正小标宋_GBK" w:eastAsia="方正小标宋_GBK" w:hAnsiTheme="minorHAnsi"/>
          <w:spacing w:val="-11"/>
          <w:sz w:val="44"/>
          <w:szCs w:val="22"/>
        </w:rPr>
      </w:pPr>
    </w:p>
    <w:p>
      <w:pPr>
        <w:adjustRightInd/>
        <w:snapToGrid/>
        <w:spacing w:after="0" w:line="600" w:lineRule="exact"/>
        <w:ind w:firstLine="0" w:firstLineChars="0"/>
        <w:jc w:val="center"/>
        <w:rPr>
          <w:rFonts w:hint="eastAsia" w:ascii="方正小标宋_GBK" w:eastAsia="方正小标宋_GBK" w:hAnsiTheme="minorHAnsi"/>
          <w:spacing w:val="-11"/>
          <w:sz w:val="44"/>
          <w:szCs w:val="22"/>
        </w:rPr>
      </w:pPr>
      <w:r>
        <w:rPr>
          <w:rFonts w:hint="eastAsia" w:ascii="方正小标宋_GBK" w:eastAsia="方正小标宋_GBK" w:hAnsiTheme="minorHAnsi"/>
          <w:spacing w:val="-11"/>
          <w:sz w:val="44"/>
          <w:szCs w:val="22"/>
        </w:rPr>
        <w:t>深圳市</w:t>
      </w:r>
      <w:bookmarkStart w:id="1" w:name="OLE_LINK4"/>
      <w:r>
        <w:rPr>
          <w:rFonts w:hint="eastAsia" w:ascii="方正小标宋_GBK" w:eastAsia="方正小标宋_GBK" w:hAnsiTheme="minorHAnsi"/>
          <w:spacing w:val="-11"/>
          <w:sz w:val="44"/>
          <w:szCs w:val="22"/>
        </w:rPr>
        <w:t>土壤污染重点监管单位</w:t>
      </w:r>
      <w:bookmarkStart w:id="2" w:name="_Hlk205917868"/>
      <w:r>
        <w:rPr>
          <w:rFonts w:hint="eastAsia" w:ascii="方正小标宋_GBK" w:eastAsia="方正小标宋_GBK" w:hAnsiTheme="minorHAnsi"/>
          <w:spacing w:val="-11"/>
          <w:sz w:val="44"/>
          <w:szCs w:val="22"/>
        </w:rPr>
        <w:t>边生产</w:t>
      </w:r>
    </w:p>
    <w:p>
      <w:pPr>
        <w:adjustRightInd/>
        <w:snapToGrid/>
        <w:spacing w:after="0" w:line="600" w:lineRule="exact"/>
        <w:ind w:firstLine="0" w:firstLineChars="0"/>
        <w:jc w:val="center"/>
        <w:rPr>
          <w:rFonts w:hint="eastAsia" w:ascii="方正小标宋_GBK" w:eastAsia="方正小标宋_GBK" w:hAnsiTheme="minorHAnsi"/>
          <w:spacing w:val="-11"/>
          <w:sz w:val="44"/>
          <w:szCs w:val="22"/>
        </w:rPr>
      </w:pPr>
      <w:r>
        <w:rPr>
          <w:rFonts w:hint="eastAsia" w:ascii="方正小标宋_GBK" w:eastAsia="方正小标宋_GBK" w:hAnsiTheme="minorHAnsi"/>
          <w:spacing w:val="-11"/>
          <w:sz w:val="44"/>
          <w:szCs w:val="22"/>
        </w:rPr>
        <w:t>边管控技术指引</w:t>
      </w:r>
      <w:bookmarkEnd w:id="0"/>
      <w:bookmarkEnd w:id="1"/>
      <w:bookmarkEnd w:id="2"/>
    </w:p>
    <w:p>
      <w:pPr>
        <w:adjustRightInd/>
        <w:snapToGrid/>
        <w:spacing w:after="0" w:line="600" w:lineRule="exact"/>
        <w:ind w:firstLine="0" w:firstLineChars="0"/>
        <w:jc w:val="center"/>
        <w:rPr>
          <w:rFonts w:hint="eastAsia" w:ascii="方正小标宋_GBK" w:eastAsia="方正小标宋_GBK" w:hAnsiTheme="minorHAnsi"/>
          <w:spacing w:val="-11"/>
          <w:sz w:val="44"/>
          <w:szCs w:val="22"/>
        </w:rPr>
      </w:pPr>
    </w:p>
    <w:p>
      <w:pPr>
        <w:adjustRightInd/>
        <w:snapToGrid/>
        <w:spacing w:after="0" w:line="600" w:lineRule="exact"/>
        <w:ind w:firstLine="0" w:firstLineChars="0"/>
        <w:jc w:val="center"/>
        <w:rPr>
          <w:rFonts w:hint="eastAsia" w:ascii="方正小标宋_GBK" w:eastAsia="方正小标宋_GBK" w:hAnsiTheme="minorHAnsi"/>
          <w:spacing w:val="-11"/>
          <w:sz w:val="44"/>
          <w:szCs w:val="22"/>
        </w:rPr>
      </w:pPr>
      <w:bookmarkStart w:id="81" w:name="_GoBack"/>
      <w:bookmarkEnd w:id="81"/>
      <w:r>
        <w:rPr>
          <w:rFonts w:hint="eastAsia" w:ascii="方正小标宋_GBK" w:eastAsia="方正小标宋_GBK" w:hAnsiTheme="minorHAnsi"/>
          <w:spacing w:val="-11"/>
          <w:sz w:val="44"/>
          <w:szCs w:val="22"/>
        </w:rPr>
        <w:t>（征求意见稿）</w:t>
      </w:r>
    </w:p>
    <w:p>
      <w:pPr>
        <w:ind w:firstLine="0" w:firstLineChars="0"/>
        <w:jc w:val="center"/>
        <w:rPr>
          <w:rFonts w:ascii="Times New Roman" w:hAnsi="Times New Roman" w:eastAsia="方正小标宋_GBK"/>
          <w:sz w:val="44"/>
          <w:szCs w:val="48"/>
        </w:rPr>
      </w:pPr>
    </w:p>
    <w:p>
      <w:pPr>
        <w:ind w:firstLine="0" w:firstLineChars="0"/>
        <w:jc w:val="center"/>
        <w:rPr>
          <w:rFonts w:ascii="Times New Roman" w:hAnsi="Times New Roman" w:eastAsia="方正小标宋_GBK"/>
          <w:sz w:val="44"/>
          <w:szCs w:val="48"/>
        </w:rPr>
      </w:pPr>
    </w:p>
    <w:p>
      <w:pPr>
        <w:ind w:firstLine="0" w:firstLineChars="0"/>
        <w:jc w:val="center"/>
        <w:rPr>
          <w:rFonts w:ascii="Times New Roman" w:hAnsi="Times New Roman" w:eastAsia="方正小标宋_GBK"/>
          <w:sz w:val="44"/>
          <w:szCs w:val="48"/>
        </w:rPr>
      </w:pPr>
    </w:p>
    <w:p>
      <w:pPr>
        <w:ind w:firstLine="0" w:firstLineChars="0"/>
        <w:jc w:val="center"/>
        <w:rPr>
          <w:rFonts w:ascii="Times New Roman" w:hAnsi="Times New Roman" w:eastAsia="方正小标宋_GBK"/>
          <w:sz w:val="44"/>
          <w:szCs w:val="48"/>
        </w:rPr>
      </w:pPr>
    </w:p>
    <w:p>
      <w:pPr>
        <w:ind w:firstLine="0" w:firstLineChars="0"/>
        <w:jc w:val="center"/>
        <w:rPr>
          <w:rFonts w:ascii="Times New Roman" w:hAnsi="Times New Roman" w:eastAsia="方正小标宋_GBK"/>
          <w:sz w:val="44"/>
          <w:szCs w:val="48"/>
        </w:rPr>
      </w:pPr>
    </w:p>
    <w:p>
      <w:pPr>
        <w:pStyle w:val="2"/>
        <w:rPr>
          <w:rFonts w:ascii="Times New Roman" w:hAnsi="Times New Roman" w:eastAsia="方正小标宋_GBK"/>
          <w:sz w:val="44"/>
          <w:szCs w:val="48"/>
        </w:rPr>
      </w:pPr>
    </w:p>
    <w:p>
      <w:pPr>
        <w:ind w:firstLine="0" w:firstLineChars="0"/>
      </w:pPr>
    </w:p>
    <w:p>
      <w:pPr>
        <w:ind w:firstLine="0" w:firstLineChars="0"/>
        <w:jc w:val="center"/>
        <w:rPr>
          <w:rFonts w:ascii="Times New Roman" w:hAnsi="Times New Roman" w:eastAsia="方正小标宋_GBK"/>
          <w:sz w:val="44"/>
          <w:szCs w:val="48"/>
        </w:rPr>
      </w:pPr>
    </w:p>
    <w:p>
      <w:pPr>
        <w:ind w:firstLine="0" w:firstLineChars="0"/>
        <w:jc w:val="center"/>
        <w:rPr>
          <w:rFonts w:ascii="Times New Roman" w:hAnsi="Times New Roman" w:eastAsia="方正小标宋_GBK"/>
          <w:sz w:val="40"/>
          <w:szCs w:val="40"/>
        </w:rPr>
      </w:pPr>
      <w:r>
        <w:rPr>
          <w:rFonts w:hint="eastAsia" w:ascii="Times New Roman" w:hAnsi="Times New Roman" w:eastAsia="方正小标宋_GBK"/>
          <w:sz w:val="40"/>
          <w:szCs w:val="40"/>
        </w:rPr>
        <w:t>深圳市生态环境局</w:t>
      </w:r>
    </w:p>
    <w:p>
      <w:pPr>
        <w:ind w:firstLine="0" w:firstLineChars="0"/>
        <w:jc w:val="center"/>
        <w:rPr>
          <w:rFonts w:ascii="Times New Roman" w:hAnsi="Times New Roman" w:eastAsia="方正小标宋_GBK"/>
          <w:sz w:val="40"/>
          <w:szCs w:val="40"/>
        </w:rPr>
      </w:pPr>
      <w:r>
        <w:rPr>
          <w:rFonts w:hint="eastAsia" w:ascii="Times New Roman" w:hAnsi="Times New Roman" w:eastAsia="方正小标宋_GBK"/>
          <w:sz w:val="40"/>
          <w:szCs w:val="40"/>
        </w:rPr>
        <w:t>二〇二五年</w:t>
      </w:r>
      <w:r>
        <w:rPr>
          <w:rFonts w:hint="eastAsia" w:ascii="Times New Roman" w:hAnsi="Times New Roman" w:eastAsia="方正小标宋_GBK"/>
          <w:sz w:val="40"/>
          <w:szCs w:val="40"/>
          <w:lang w:eastAsia="zh-CN"/>
        </w:rPr>
        <w:t>十二</w:t>
      </w:r>
      <w:r>
        <w:rPr>
          <w:rFonts w:hint="eastAsia" w:ascii="Times New Roman" w:hAnsi="Times New Roman" w:eastAsia="方正小标宋_GBK"/>
          <w:sz w:val="40"/>
          <w:szCs w:val="40"/>
        </w:rPr>
        <w:t>月</w:t>
      </w:r>
    </w:p>
    <w:p>
      <w:pPr>
        <w:ind w:firstLine="0" w:firstLineChars="0"/>
        <w:jc w:val="center"/>
        <w:rPr>
          <w:rFonts w:ascii="Times New Roman" w:hAnsi="Times New Roman" w:eastAsia="方正小标宋_GBK"/>
          <w:sz w:val="40"/>
          <w:szCs w:val="40"/>
        </w:rPr>
      </w:pPr>
    </w:p>
    <w:p>
      <w:pPr>
        <w:ind w:firstLine="0" w:firstLineChars="0"/>
        <w:jc w:val="center"/>
        <w:rPr>
          <w:rFonts w:ascii="Times New Roman" w:hAnsi="Times New Roman" w:eastAsia="方正小标宋_GBK"/>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pPr>
    </w:p>
    <w:p>
      <w:pPr>
        <w:ind w:firstLine="0" w:firstLineChars="0"/>
        <w:jc w:val="center"/>
        <w:outlineLvl w:val="1"/>
        <w:rPr>
          <w:rFonts w:ascii="Times New Roman" w:hAnsi="Times New Roman" w:eastAsia="黑体" w:cs="黑体"/>
          <w:sz w:val="44"/>
          <w:szCs w:val="44"/>
        </w:rPr>
      </w:pPr>
      <w:bookmarkStart w:id="3" w:name="_Toc12595"/>
      <w:bookmarkStart w:id="4" w:name="_Toc214374498"/>
      <w:bookmarkStart w:id="5" w:name="_Toc213764488"/>
      <w:r>
        <w:rPr>
          <w:rFonts w:hint="eastAsia" w:ascii="Times New Roman" w:hAnsi="Times New Roman" w:eastAsia="黑体" w:cs="黑体"/>
          <w:sz w:val="44"/>
          <w:szCs w:val="44"/>
        </w:rPr>
        <w:t>前  言</w:t>
      </w:r>
      <w:bookmarkEnd w:id="3"/>
      <w:bookmarkEnd w:id="4"/>
      <w:bookmarkEnd w:id="5"/>
    </w:p>
    <w:p>
      <w:pPr>
        <w:spacing w:after="0"/>
        <w:ind w:firstLine="640"/>
        <w:rPr>
          <w:rFonts w:ascii="Times New Roman" w:hAnsi="Times New Roman" w:cs="仿宋_GB2312"/>
          <w:sz w:val="32"/>
          <w:szCs w:val="32"/>
        </w:rPr>
      </w:pPr>
      <w:r>
        <w:rPr>
          <w:rFonts w:hint="eastAsia" w:ascii="Times New Roman" w:hAnsi="Times New Roman" w:cs="仿宋_GB2312"/>
          <w:sz w:val="32"/>
          <w:szCs w:val="32"/>
        </w:rPr>
        <w:t>为贯彻落实《中华人民共和国土壤污染防治法》《工矿用地土壤环境管理办法（试行）》《土壤污染源头防控行动计划》有关要求，指导土壤污染重点监管单位在生产经营过程中</w:t>
      </w:r>
      <w:r>
        <w:rPr>
          <w:rFonts w:hint="eastAsia" w:ascii="Times New Roman" w:hAnsi="Times New Roman"/>
          <w:sz w:val="32"/>
          <w:szCs w:val="24"/>
        </w:rPr>
        <w:t>自行</w:t>
      </w:r>
      <w:r>
        <w:rPr>
          <w:rFonts w:hint="eastAsia" w:ascii="Times New Roman" w:hAnsi="Times New Roman" w:cs="仿宋_GB2312"/>
          <w:sz w:val="32"/>
          <w:szCs w:val="32"/>
        </w:rPr>
        <w:t>开展土壤和地下水污染管控工作，制定本指引。</w:t>
      </w:r>
    </w:p>
    <w:p>
      <w:pPr>
        <w:spacing w:after="0"/>
        <w:ind w:firstLine="640"/>
        <w:rPr>
          <w:rFonts w:ascii="Times New Roman" w:hAnsi="Times New Roman" w:cs="仿宋_GB2312"/>
          <w:sz w:val="32"/>
          <w:szCs w:val="32"/>
        </w:rPr>
      </w:pPr>
      <w:bookmarkStart w:id="6" w:name="OLE_LINK41"/>
      <w:r>
        <w:rPr>
          <w:rFonts w:hint="eastAsia" w:ascii="Times New Roman" w:hAnsi="Times New Roman" w:cs="仿宋_GB2312"/>
          <w:sz w:val="32"/>
          <w:szCs w:val="32"/>
        </w:rPr>
        <w:t>本指引</w:t>
      </w:r>
      <w:bookmarkEnd w:id="6"/>
      <w:r>
        <w:rPr>
          <w:rFonts w:hint="eastAsia" w:ascii="Times New Roman" w:hAnsi="Times New Roman" w:cs="仿宋_GB2312"/>
          <w:sz w:val="32"/>
          <w:szCs w:val="32"/>
        </w:rPr>
        <w:t>提出了深圳市</w:t>
      </w:r>
      <w:bookmarkStart w:id="7" w:name="OLE_LINK30"/>
      <w:r>
        <w:rPr>
          <w:rFonts w:hint="eastAsia" w:ascii="Times New Roman" w:hAnsi="Times New Roman" w:cs="仿宋_GB2312"/>
          <w:sz w:val="32"/>
          <w:szCs w:val="32"/>
        </w:rPr>
        <w:t>土壤污染重点监管单位</w:t>
      </w:r>
      <w:bookmarkEnd w:id="7"/>
      <w:r>
        <w:rPr>
          <w:rFonts w:hint="eastAsia" w:ascii="Times New Roman" w:hAnsi="Times New Roman" w:cs="仿宋_GB2312"/>
          <w:sz w:val="32"/>
          <w:szCs w:val="32"/>
        </w:rPr>
        <w:t>边生产边管控土壤和地下水污染（以下简称边生产边管控）技术层面的工作内容、</w:t>
      </w:r>
      <w:r>
        <w:rPr>
          <w:rFonts w:ascii="Times New Roman" w:hAnsi="Times New Roman" w:cs="仿宋_GB2312"/>
          <w:sz w:val="32"/>
          <w:szCs w:val="32"/>
        </w:rPr>
        <w:t>实施</w:t>
      </w:r>
      <w:r>
        <w:rPr>
          <w:rFonts w:hint="eastAsia" w:ascii="Times New Roman" w:hAnsi="Times New Roman" w:cs="仿宋_GB2312"/>
          <w:sz w:val="32"/>
          <w:szCs w:val="32"/>
        </w:rPr>
        <w:t>流程和</w:t>
      </w:r>
      <w:r>
        <w:rPr>
          <w:rFonts w:ascii="Times New Roman" w:hAnsi="Times New Roman" w:cs="仿宋_GB2312"/>
          <w:sz w:val="32"/>
          <w:szCs w:val="32"/>
        </w:rPr>
        <w:t>应用</w:t>
      </w:r>
      <w:r>
        <w:rPr>
          <w:rFonts w:hint="eastAsia" w:ascii="Times New Roman" w:hAnsi="Times New Roman" w:cs="仿宋_GB2312"/>
          <w:sz w:val="32"/>
          <w:szCs w:val="32"/>
        </w:rPr>
        <w:t>方式。</w:t>
      </w:r>
    </w:p>
    <w:p>
      <w:pPr>
        <w:spacing w:after="0"/>
        <w:ind w:firstLine="640"/>
        <w:rPr>
          <w:rFonts w:ascii="Times New Roman" w:hAnsi="Times New Roman" w:cs="仿宋_GB2312"/>
          <w:sz w:val="32"/>
          <w:szCs w:val="32"/>
        </w:rPr>
      </w:pPr>
      <w:r>
        <w:rPr>
          <w:rFonts w:hint="eastAsia" w:ascii="Times New Roman" w:hAnsi="Times New Roman" w:cs="仿宋_GB2312"/>
          <w:sz w:val="32"/>
          <w:szCs w:val="32"/>
        </w:rPr>
        <w:t>本指引由深圳市生态环境局组织编制并负责解释。</w:t>
      </w:r>
    </w:p>
    <w:p>
      <w:pPr>
        <w:ind w:firstLine="880"/>
        <w:jc w:val="center"/>
        <w:rPr>
          <w:rFonts w:ascii="Times New Roman" w:hAnsi="Times New Roman" w:eastAsia="方正小标宋_GBK"/>
          <w:sz w:val="44"/>
          <w:szCs w:val="48"/>
        </w:rPr>
      </w:pPr>
      <w:r>
        <w:rPr>
          <w:rFonts w:ascii="Times New Roman" w:hAnsi="Times New Roman" w:eastAsia="方正小标宋_GBK"/>
          <w:sz w:val="44"/>
          <w:szCs w:val="48"/>
        </w:rPr>
        <w:br w:type="page"/>
      </w:r>
    </w:p>
    <w:sdt>
      <w:sdtPr>
        <w:rPr>
          <w:rFonts w:hint="eastAsia" w:ascii="黑体" w:hAnsi="黑体" w:eastAsia="黑体" w:cs="黑体"/>
          <w:color w:val="auto"/>
          <w:kern w:val="2"/>
          <w:sz w:val="30"/>
          <w:szCs w:val="22"/>
          <w:lang w:val="zh-CN"/>
        </w:rPr>
        <w:id w:val="-1"/>
        <w:docPartObj>
          <w:docPartGallery w:val="Table of Contents"/>
          <w:docPartUnique/>
        </w:docPartObj>
      </w:sdtPr>
      <w:sdtEndPr>
        <w:rPr>
          <w:rFonts w:hint="eastAsia" w:ascii="Times New Roman" w:hAnsi="Times New Roman" w:eastAsia="黑体" w:cstheme="majorBidi"/>
          <w:b w:val="0"/>
          <w:bCs w:val="0"/>
          <w:color w:val="auto"/>
          <w:kern w:val="2"/>
          <w:sz w:val="32"/>
          <w:szCs w:val="32"/>
          <w:lang w:val="zh-CN"/>
        </w:rPr>
      </w:sdtEndPr>
      <w:sdtContent>
        <w:p>
          <w:pPr>
            <w:pStyle w:val="58"/>
            <w:adjustRightInd w:val="0"/>
            <w:snapToGrid w:val="0"/>
            <w:spacing w:before="0" w:line="540" w:lineRule="exact"/>
            <w:ind w:firstLine="600"/>
            <w:jc w:val="center"/>
            <w:rPr>
              <w:rFonts w:hint="eastAsia" w:ascii="黑体" w:hAnsi="黑体" w:eastAsia="黑体" w:cs="黑体"/>
              <w:color w:val="auto"/>
              <w:sz w:val="40"/>
              <w:szCs w:val="40"/>
            </w:rPr>
          </w:pPr>
          <w:r>
            <w:rPr>
              <w:rFonts w:hint="eastAsia" w:ascii="黑体" w:hAnsi="黑体" w:eastAsia="黑体" w:cs="黑体"/>
              <w:color w:val="auto"/>
              <w:sz w:val="40"/>
              <w:szCs w:val="40"/>
              <w:lang w:val="zh-CN"/>
            </w:rPr>
            <w:t>目  录</w:t>
          </w:r>
        </w:p>
        <w:p>
          <w:pPr>
            <w:pStyle w:val="20"/>
            <w:tabs>
              <w:tab w:val="right" w:leader="dot" w:pos="8296"/>
            </w:tabs>
            <w:spacing w:after="0" w:line="540" w:lineRule="exact"/>
            <w:ind w:left="0" w:leftChars="0" w:firstLine="0" w:firstLineChars="0"/>
            <w:rPr>
              <w:rFonts w:hint="eastAsia" w:ascii="仿宋_GB2312" w:hAnsi="仿宋_GB2312" w:eastAsia="仿宋_GB2312" w:cs="仿宋_GB2312"/>
              <w:b/>
              <w:bCs/>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TOC \o "1-3" \h \z \u </w:instrText>
          </w:r>
          <w:r>
            <w:rPr>
              <w:rFonts w:hint="eastAsia" w:ascii="仿宋_GB2312" w:hAnsi="仿宋_GB2312" w:cs="仿宋_GB2312"/>
            </w:rPr>
            <w:fldChar w:fldCharType="separate"/>
          </w:r>
          <w:r>
            <w:rPr>
              <w:rFonts w:hint="eastAsia" w:ascii="仿宋_GB2312" w:hAnsi="仿宋_GB2312" w:cs="仿宋_GB2312"/>
            </w:rPr>
            <w:fldChar w:fldCharType="begin"/>
          </w:r>
          <w:r>
            <w:rPr>
              <w:rFonts w:hint="eastAsia" w:ascii="仿宋_GB2312" w:hAnsi="仿宋_GB2312" w:cs="仿宋_GB2312"/>
            </w:rPr>
            <w:instrText xml:space="preserve"> HYPERLINK \l "_Toc214374499" </w:instrText>
          </w:r>
          <w:r>
            <w:rPr>
              <w:rFonts w:hint="eastAsia" w:ascii="仿宋_GB2312" w:hAnsi="仿宋_GB2312" w:cs="仿宋_GB2312"/>
            </w:rPr>
            <w:fldChar w:fldCharType="separate"/>
          </w:r>
          <w:r>
            <w:rPr>
              <w:rStyle w:val="26"/>
              <w:rFonts w:hint="eastAsia" w:ascii="仿宋_GB2312" w:hAnsi="仿宋_GB2312" w:cs="仿宋_GB2312"/>
              <w:b/>
              <w:bCs/>
              <w:color w:val="auto"/>
            </w:rPr>
            <w:t>一、定义及适用范围</w:t>
          </w:r>
          <w:r>
            <w:rPr>
              <w:rFonts w:hint="eastAsia" w:ascii="仿宋_GB2312" w:hAnsi="仿宋_GB2312" w:cs="仿宋_GB2312"/>
              <w:b/>
              <w:bCs/>
            </w:rPr>
            <w:tab/>
          </w:r>
          <w:r>
            <w:rPr>
              <w:rFonts w:hint="eastAsia" w:ascii="仿宋_GB2312" w:hAnsi="仿宋_GB2312" w:cs="仿宋_GB2312"/>
              <w:b/>
              <w:bCs/>
            </w:rPr>
            <w:fldChar w:fldCharType="begin"/>
          </w:r>
          <w:r>
            <w:rPr>
              <w:rFonts w:hint="eastAsia" w:ascii="仿宋_GB2312" w:hAnsi="仿宋_GB2312" w:cs="仿宋_GB2312"/>
              <w:b/>
              <w:bCs/>
            </w:rPr>
            <w:instrText xml:space="preserve"> PAGEREF _Toc214374499 \h </w:instrText>
          </w:r>
          <w:r>
            <w:rPr>
              <w:rFonts w:hint="eastAsia" w:ascii="仿宋_GB2312" w:hAnsi="仿宋_GB2312" w:cs="仿宋_GB2312"/>
              <w:b/>
              <w:bCs/>
            </w:rPr>
            <w:fldChar w:fldCharType="separate"/>
          </w:r>
          <w:r>
            <w:rPr>
              <w:rFonts w:hint="eastAsia" w:ascii="仿宋_GB2312" w:hAnsi="仿宋_GB2312" w:cs="仿宋_GB2312"/>
              <w:b/>
              <w:bCs/>
            </w:rPr>
            <w:t>- 1 -</w:t>
          </w:r>
          <w:r>
            <w:rPr>
              <w:rFonts w:hint="eastAsia" w:ascii="仿宋_GB2312" w:hAnsi="仿宋_GB2312" w:cs="仿宋_GB2312"/>
              <w:b/>
              <w:bCs/>
            </w:rPr>
            <w:fldChar w:fldCharType="end"/>
          </w:r>
          <w:r>
            <w:rPr>
              <w:rFonts w:hint="eastAsia" w:ascii="仿宋_GB2312" w:hAnsi="仿宋_GB2312" w:cs="仿宋_GB2312"/>
              <w:b/>
              <w:bCs/>
            </w:rPr>
            <w:fldChar w:fldCharType="end"/>
          </w:r>
        </w:p>
        <w:p>
          <w:pPr>
            <w:pStyle w:val="17"/>
            <w:tabs>
              <w:tab w:val="right" w:leader="dot" w:pos="8296"/>
            </w:tabs>
            <w:spacing w:after="0" w:line="540" w:lineRule="exact"/>
            <w:ind w:firstLine="0" w:firstLineChars="0"/>
            <w:rPr>
              <w:rFonts w:hint="eastAsia" w:ascii="仿宋_GB2312" w:hAnsi="仿宋_GB2312" w:eastAsia="仿宋_GB2312" w:cs="仿宋_GB2312"/>
              <w:b/>
              <w:bCs/>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"_Toc214374500" </w:instrText>
          </w:r>
          <w:r>
            <w:rPr>
              <w:rFonts w:hint="eastAsia" w:ascii="仿宋_GB2312" w:hAnsi="仿宋_GB2312" w:cs="仿宋_GB2312"/>
            </w:rPr>
            <w:fldChar w:fldCharType="separate"/>
          </w:r>
          <w:r>
            <w:rPr>
              <w:rStyle w:val="26"/>
              <w:rFonts w:hint="eastAsia" w:ascii="仿宋_GB2312" w:hAnsi="仿宋_GB2312" w:cs="仿宋_GB2312"/>
              <w:b/>
              <w:bCs/>
              <w:color w:val="auto"/>
            </w:rPr>
            <w:t>二、工作内容与方式</w:t>
          </w:r>
          <w:r>
            <w:rPr>
              <w:rFonts w:hint="eastAsia" w:ascii="仿宋_GB2312" w:hAnsi="仿宋_GB2312" w:cs="仿宋_GB2312"/>
              <w:b/>
              <w:bCs/>
            </w:rPr>
            <w:tab/>
          </w:r>
          <w:r>
            <w:rPr>
              <w:rFonts w:hint="eastAsia" w:ascii="仿宋_GB2312" w:hAnsi="仿宋_GB2312" w:cs="仿宋_GB2312"/>
              <w:b/>
              <w:bCs/>
            </w:rPr>
            <w:fldChar w:fldCharType="begin"/>
          </w:r>
          <w:r>
            <w:rPr>
              <w:rFonts w:hint="eastAsia" w:ascii="仿宋_GB2312" w:hAnsi="仿宋_GB2312" w:cs="仿宋_GB2312"/>
              <w:b/>
              <w:bCs/>
            </w:rPr>
            <w:instrText xml:space="preserve"> PAGEREF _Toc214374500 \h </w:instrText>
          </w:r>
          <w:r>
            <w:rPr>
              <w:rFonts w:hint="eastAsia" w:ascii="仿宋_GB2312" w:hAnsi="仿宋_GB2312" w:cs="仿宋_GB2312"/>
              <w:b/>
              <w:bCs/>
            </w:rPr>
            <w:fldChar w:fldCharType="separate"/>
          </w:r>
          <w:r>
            <w:rPr>
              <w:rFonts w:hint="eastAsia" w:ascii="仿宋_GB2312" w:hAnsi="仿宋_GB2312" w:cs="仿宋_GB2312"/>
              <w:b/>
              <w:bCs/>
            </w:rPr>
            <w:t>- 1 -</w:t>
          </w:r>
          <w:r>
            <w:rPr>
              <w:rFonts w:hint="eastAsia" w:ascii="仿宋_GB2312" w:hAnsi="仿宋_GB2312" w:cs="仿宋_GB2312"/>
              <w:b/>
              <w:bCs/>
            </w:rPr>
            <w:fldChar w:fldCharType="end"/>
          </w:r>
          <w:r>
            <w:rPr>
              <w:rFonts w:hint="eastAsia" w:ascii="仿宋_GB2312" w:hAnsi="仿宋_GB2312" w:cs="仿宋_GB2312"/>
              <w:b/>
              <w:bCs/>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"_Toc214374501" </w:instrText>
          </w:r>
          <w:r>
            <w:rPr>
              <w:rFonts w:hint="eastAsia" w:ascii="仿宋_GB2312" w:hAnsi="仿宋_GB2312" w:cs="仿宋_GB2312"/>
            </w:rPr>
            <w:fldChar w:fldCharType="separate"/>
          </w:r>
          <w:r>
            <w:rPr>
              <w:rStyle w:val="26"/>
              <w:rFonts w:hint="eastAsia" w:ascii="仿宋_GB2312" w:hAnsi="仿宋_GB2312" w:cs="仿宋_GB2312"/>
              <w:color w:val="auto"/>
            </w:rPr>
            <w:t>（一）工作内容</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_Toc214374501 \h </w:instrText>
          </w:r>
          <w:r>
            <w:rPr>
              <w:rFonts w:hint="eastAsia" w:ascii="仿宋_GB2312" w:hAnsi="仿宋_GB2312" w:cs="仿宋_GB2312"/>
            </w:rPr>
            <w:fldChar w:fldCharType="separate"/>
          </w:r>
          <w:r>
            <w:rPr>
              <w:rFonts w:hint="eastAsia" w:ascii="仿宋_GB2312" w:hAnsi="仿宋_GB2312" w:cs="仿宋_GB2312"/>
            </w:rPr>
            <w:t>- 1 -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"_Toc214374502" </w:instrText>
          </w:r>
          <w:r>
            <w:rPr>
              <w:rFonts w:hint="eastAsia" w:ascii="仿宋_GB2312" w:hAnsi="仿宋_GB2312" w:cs="仿宋_GB2312"/>
            </w:rPr>
            <w:fldChar w:fldCharType="separate"/>
          </w:r>
          <w:r>
            <w:rPr>
              <w:rStyle w:val="26"/>
              <w:rFonts w:hint="eastAsia" w:ascii="仿宋_GB2312" w:hAnsi="仿宋_GB2312" w:cs="仿宋_GB2312"/>
              <w:color w:val="auto"/>
            </w:rPr>
            <w:t>（二）工作方式</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_Toc214374502 \h </w:instrText>
          </w:r>
          <w:r>
            <w:rPr>
              <w:rFonts w:hint="eastAsia" w:ascii="仿宋_GB2312" w:hAnsi="仿宋_GB2312" w:cs="仿宋_GB2312"/>
            </w:rPr>
            <w:fldChar w:fldCharType="separate"/>
          </w:r>
          <w:r>
            <w:rPr>
              <w:rFonts w:hint="eastAsia" w:ascii="仿宋_GB2312" w:hAnsi="仿宋_GB2312" w:cs="仿宋_GB2312"/>
            </w:rPr>
            <w:t>- 1 -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"_Toc214374503" </w:instrText>
          </w:r>
          <w:r>
            <w:rPr>
              <w:rFonts w:hint="eastAsia" w:ascii="仿宋_GB2312" w:hAnsi="仿宋_GB2312" w:cs="仿宋_GB2312"/>
            </w:rPr>
            <w:fldChar w:fldCharType="separate"/>
          </w:r>
          <w:r>
            <w:rPr>
              <w:rStyle w:val="26"/>
              <w:rFonts w:hint="eastAsia" w:ascii="仿宋_GB2312" w:hAnsi="仿宋_GB2312" w:cs="仿宋_GB2312"/>
              <w:color w:val="auto"/>
            </w:rPr>
            <w:t>（三）工作要求</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_Toc214374503 \h </w:instrText>
          </w:r>
          <w:r>
            <w:rPr>
              <w:rFonts w:hint="eastAsia" w:ascii="仿宋_GB2312" w:hAnsi="仿宋_GB2312" w:cs="仿宋_GB2312"/>
            </w:rPr>
            <w:fldChar w:fldCharType="separate"/>
          </w:r>
          <w:r>
            <w:rPr>
              <w:rFonts w:hint="eastAsia" w:ascii="仿宋_GB2312" w:hAnsi="仿宋_GB2312" w:cs="仿宋_GB2312"/>
            </w:rPr>
            <w:t>- 2 -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0" w:leftChars="0" w:firstLine="0" w:firstLineChars="0"/>
            <w:rPr>
              <w:rStyle w:val="26"/>
              <w:rFonts w:hint="eastAsia" w:ascii="仿宋_GB2312" w:hAnsi="仿宋_GB2312" w:cs="仿宋_GB2312"/>
              <w:b/>
              <w:bCs/>
              <w:color w:val="auto"/>
            </w:rPr>
          </w:pPr>
          <w:r>
            <w:rPr>
              <w:rFonts w:hint="eastAsia" w:ascii="仿宋_GB2312" w:hAnsi="仿宋_GB2312" w:cs="仿宋_GB2312"/>
            </w:rPr>
            <w:fldChar w:fldCharType="begin"/>
          </w:r>
          <w:r>
            <w:rPr>
              <w:rFonts w:hint="eastAsia" w:ascii="仿宋_GB2312" w:hAnsi="仿宋_GB2312" w:cs="仿宋_GB2312"/>
            </w:rPr>
            <w:instrText xml:space="preserve"> HYPERLINK \l "_Toc214374504" </w:instrText>
          </w:r>
          <w:r>
            <w:rPr>
              <w:rFonts w:hint="eastAsia" w:ascii="仿宋_GB2312" w:hAnsi="仿宋_GB2312" w:cs="仿宋_GB2312"/>
            </w:rPr>
            <w:fldChar w:fldCharType="separate"/>
          </w:r>
          <w:r>
            <w:rPr>
              <w:rStyle w:val="26"/>
              <w:rFonts w:hint="eastAsia" w:ascii="仿宋_GB2312" w:hAnsi="仿宋_GB2312" w:cs="仿宋_GB2312"/>
              <w:b/>
              <w:bCs/>
              <w:color w:val="auto"/>
            </w:rPr>
            <w:t>三、土壤和地下水污染风险判定</w:t>
          </w:r>
          <w:r>
            <w:rPr>
              <w:rStyle w:val="26"/>
              <w:rFonts w:hint="eastAsia" w:ascii="仿宋_GB2312" w:hAnsi="仿宋_GB2312" w:cs="仿宋_GB2312"/>
              <w:b/>
              <w:bCs/>
              <w:color w:val="auto"/>
            </w:rPr>
            <w:tab/>
          </w:r>
          <w:r>
            <w:rPr>
              <w:rStyle w:val="26"/>
              <w:rFonts w:hint="eastAsia" w:ascii="仿宋_GB2312" w:hAnsi="仿宋_GB2312" w:cs="仿宋_GB2312"/>
              <w:b/>
              <w:bCs/>
              <w:color w:val="auto"/>
            </w:rPr>
            <w:fldChar w:fldCharType="begin"/>
          </w:r>
          <w:r>
            <w:rPr>
              <w:rStyle w:val="26"/>
              <w:rFonts w:hint="eastAsia" w:ascii="仿宋_GB2312" w:hAnsi="仿宋_GB2312" w:cs="仿宋_GB2312"/>
              <w:b/>
              <w:bCs/>
              <w:color w:val="auto"/>
            </w:rPr>
            <w:instrText xml:space="preserve"> PAGEREF _Toc214374504 \h </w:instrText>
          </w:r>
          <w:r>
            <w:rPr>
              <w:rStyle w:val="26"/>
              <w:rFonts w:hint="eastAsia" w:ascii="仿宋_GB2312" w:hAnsi="仿宋_GB2312" w:cs="仿宋_GB2312"/>
              <w:b/>
              <w:bCs/>
              <w:color w:val="auto"/>
            </w:rPr>
            <w:fldChar w:fldCharType="separate"/>
          </w:r>
          <w:r>
            <w:rPr>
              <w:rStyle w:val="26"/>
              <w:rFonts w:hint="eastAsia" w:ascii="仿宋_GB2312" w:hAnsi="仿宋_GB2312" w:cs="仿宋_GB2312"/>
              <w:b/>
              <w:bCs/>
              <w:color w:val="auto"/>
            </w:rPr>
            <w:t>- 3 -</w:t>
          </w:r>
          <w:r>
            <w:rPr>
              <w:rStyle w:val="26"/>
              <w:rFonts w:hint="eastAsia" w:ascii="仿宋_GB2312" w:hAnsi="仿宋_GB2312" w:cs="仿宋_GB2312"/>
              <w:b/>
              <w:bCs/>
              <w:color w:val="auto"/>
            </w:rPr>
            <w:fldChar w:fldCharType="end"/>
          </w:r>
          <w:r>
            <w:rPr>
              <w:rStyle w:val="26"/>
              <w:rFonts w:hint="eastAsia" w:ascii="仿宋_GB2312" w:hAnsi="仿宋_GB2312" w:cs="仿宋_GB2312"/>
              <w:b/>
              <w:bCs/>
              <w:color w:val="auto"/>
            </w:rPr>
            <w:fldChar w:fldCharType="end"/>
          </w:r>
        </w:p>
        <w:p>
          <w:pPr>
            <w:pStyle w:val="20"/>
            <w:tabs>
              <w:tab w:val="right" w:leader="dot" w:pos="8296"/>
            </w:tabs>
            <w:spacing w:after="0" w:line="540" w:lineRule="exact"/>
            <w:ind w:left="0" w:leftChars="0" w:firstLine="0" w:firstLineChars="0"/>
            <w:rPr>
              <w:rStyle w:val="26"/>
              <w:rFonts w:hint="eastAsia" w:ascii="仿宋_GB2312" w:hAnsi="仿宋_GB2312" w:cs="仿宋_GB2312"/>
              <w:b/>
              <w:bCs/>
              <w:color w:val="auto"/>
            </w:rPr>
          </w:pPr>
          <w:r>
            <w:rPr>
              <w:rFonts w:hint="eastAsia" w:ascii="仿宋_GB2312" w:hAnsi="仿宋_GB2312" w:cs="仿宋_GB2312"/>
            </w:rPr>
            <w:fldChar w:fldCharType="begin"/>
          </w:r>
          <w:r>
            <w:rPr>
              <w:rFonts w:hint="eastAsia" w:ascii="仿宋_GB2312" w:hAnsi="仿宋_GB2312" w:cs="仿宋_GB2312"/>
            </w:rPr>
            <w:instrText xml:space="preserve"> HYPERLINK \l "_Toc214374505" </w:instrText>
          </w:r>
          <w:r>
            <w:rPr>
              <w:rFonts w:hint="eastAsia" w:ascii="仿宋_GB2312" w:hAnsi="仿宋_GB2312" w:cs="仿宋_GB2312"/>
            </w:rPr>
            <w:fldChar w:fldCharType="separate"/>
          </w:r>
          <w:r>
            <w:rPr>
              <w:rStyle w:val="26"/>
              <w:rFonts w:hint="eastAsia" w:ascii="仿宋_GB2312" w:hAnsi="仿宋_GB2312" w:cs="仿宋_GB2312"/>
              <w:b/>
              <w:bCs/>
              <w:color w:val="auto"/>
            </w:rPr>
            <w:t>四、监测预警</w:t>
          </w:r>
          <w:r>
            <w:rPr>
              <w:rStyle w:val="26"/>
              <w:rFonts w:hint="eastAsia" w:ascii="仿宋_GB2312" w:hAnsi="仿宋_GB2312" w:cs="仿宋_GB2312"/>
              <w:b/>
              <w:bCs/>
              <w:color w:val="auto"/>
            </w:rPr>
            <w:tab/>
          </w:r>
          <w:r>
            <w:rPr>
              <w:rStyle w:val="26"/>
              <w:rFonts w:hint="eastAsia" w:ascii="仿宋_GB2312" w:hAnsi="仿宋_GB2312" w:cs="仿宋_GB2312"/>
              <w:b/>
              <w:bCs/>
              <w:color w:val="auto"/>
            </w:rPr>
            <w:fldChar w:fldCharType="begin"/>
          </w:r>
          <w:r>
            <w:rPr>
              <w:rStyle w:val="26"/>
              <w:rFonts w:hint="eastAsia" w:ascii="仿宋_GB2312" w:hAnsi="仿宋_GB2312" w:cs="仿宋_GB2312"/>
              <w:b/>
              <w:bCs/>
              <w:color w:val="auto"/>
            </w:rPr>
            <w:instrText xml:space="preserve"> PAGEREF _Toc214374505 \h </w:instrText>
          </w:r>
          <w:r>
            <w:rPr>
              <w:rStyle w:val="26"/>
              <w:rFonts w:hint="eastAsia" w:ascii="仿宋_GB2312" w:hAnsi="仿宋_GB2312" w:cs="仿宋_GB2312"/>
              <w:b/>
              <w:bCs/>
              <w:color w:val="auto"/>
            </w:rPr>
            <w:fldChar w:fldCharType="separate"/>
          </w:r>
          <w:r>
            <w:rPr>
              <w:rStyle w:val="26"/>
              <w:rFonts w:hint="eastAsia" w:ascii="仿宋_GB2312" w:hAnsi="仿宋_GB2312" w:cs="仿宋_GB2312"/>
              <w:b/>
              <w:bCs/>
              <w:color w:val="auto"/>
            </w:rPr>
            <w:t>- 5 -</w:t>
          </w:r>
          <w:r>
            <w:rPr>
              <w:rStyle w:val="26"/>
              <w:rFonts w:hint="eastAsia" w:ascii="仿宋_GB2312" w:hAnsi="仿宋_GB2312" w:cs="仿宋_GB2312"/>
              <w:b/>
              <w:bCs/>
              <w:color w:val="auto"/>
            </w:rPr>
            <w:fldChar w:fldCharType="end"/>
          </w:r>
          <w:r>
            <w:rPr>
              <w:rStyle w:val="26"/>
              <w:rFonts w:hint="eastAsia" w:ascii="仿宋_GB2312" w:hAnsi="仿宋_GB2312" w:cs="仿宋_GB2312"/>
              <w:b/>
              <w:bCs/>
              <w:color w:val="auto"/>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"_Toc214374506" </w:instrText>
          </w:r>
          <w:r>
            <w:rPr>
              <w:rFonts w:hint="eastAsia" w:ascii="仿宋_GB2312" w:hAnsi="仿宋_GB2312" w:cs="仿宋_GB2312"/>
            </w:rPr>
            <w:fldChar w:fldCharType="separate"/>
          </w:r>
          <w:r>
            <w:rPr>
              <w:rStyle w:val="26"/>
              <w:rFonts w:hint="eastAsia" w:ascii="仿宋_GB2312" w:hAnsi="仿宋_GB2312" w:cs="仿宋_GB2312"/>
              <w:color w:val="auto"/>
            </w:rPr>
            <w:t>（一）基础措施</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_Toc214374506 \h </w:instrText>
          </w:r>
          <w:r>
            <w:rPr>
              <w:rFonts w:hint="eastAsia" w:ascii="仿宋_GB2312" w:hAnsi="仿宋_GB2312" w:cs="仿宋_GB2312"/>
            </w:rPr>
            <w:fldChar w:fldCharType="separate"/>
          </w:r>
          <w:r>
            <w:rPr>
              <w:rFonts w:hint="eastAsia" w:ascii="仿宋_GB2312" w:hAnsi="仿宋_GB2312" w:cs="仿宋_GB2312"/>
            </w:rPr>
            <w:t>- 5 -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"_Toc214374507" </w:instrText>
          </w:r>
          <w:r>
            <w:rPr>
              <w:rFonts w:hint="eastAsia" w:ascii="仿宋_GB2312" w:hAnsi="仿宋_GB2312" w:cs="仿宋_GB2312"/>
            </w:rPr>
            <w:fldChar w:fldCharType="separate"/>
          </w:r>
          <w:r>
            <w:rPr>
              <w:rStyle w:val="26"/>
              <w:rFonts w:hint="eastAsia" w:ascii="仿宋_GB2312" w:hAnsi="仿宋_GB2312" w:cs="仿宋_GB2312"/>
              <w:color w:val="auto"/>
            </w:rPr>
            <w:t>（二）强化措施</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_Toc214374507 \h </w:instrText>
          </w:r>
          <w:r>
            <w:rPr>
              <w:rFonts w:hint="eastAsia" w:ascii="仿宋_GB2312" w:hAnsi="仿宋_GB2312" w:cs="仿宋_GB2312"/>
            </w:rPr>
            <w:fldChar w:fldCharType="separate"/>
          </w:r>
          <w:r>
            <w:rPr>
              <w:rFonts w:hint="eastAsia" w:ascii="仿宋_GB2312" w:hAnsi="仿宋_GB2312" w:cs="仿宋_GB2312"/>
            </w:rPr>
            <w:t>- 7 -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"_Toc214374508" </w:instrText>
          </w:r>
          <w:r>
            <w:rPr>
              <w:rFonts w:hint="eastAsia" w:ascii="仿宋_GB2312" w:hAnsi="仿宋_GB2312" w:cs="仿宋_GB2312"/>
            </w:rPr>
            <w:fldChar w:fldCharType="separate"/>
          </w:r>
          <w:r>
            <w:rPr>
              <w:rStyle w:val="26"/>
              <w:rFonts w:hint="eastAsia" w:ascii="仿宋_GB2312" w:hAnsi="仿宋_GB2312" w:cs="仿宋_GB2312"/>
              <w:color w:val="auto"/>
            </w:rPr>
            <w:t>（三）预警响应</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_Toc214374508 \h </w:instrText>
          </w:r>
          <w:r>
            <w:rPr>
              <w:rFonts w:hint="eastAsia" w:ascii="仿宋_GB2312" w:hAnsi="仿宋_GB2312" w:cs="仿宋_GB2312"/>
            </w:rPr>
            <w:fldChar w:fldCharType="separate"/>
          </w:r>
          <w:r>
            <w:rPr>
              <w:rFonts w:hint="eastAsia" w:ascii="仿宋_GB2312" w:hAnsi="仿宋_GB2312" w:cs="仿宋_GB2312"/>
            </w:rPr>
            <w:t>- 8 -</w:t>
          </w:r>
          <w:r>
            <w:rPr>
              <w:rFonts w:hint="eastAsia" w:ascii="仿宋_GB2312" w:hAnsi="仿宋_GB2312" w:cs="仿宋_GB2312"/>
            </w:rPr>
            <w:fldChar w:fldCharType="end"/>
          </w:r>
          <w:r>
            <w:rPr>
              <w:rFonts w:hint="eastAsia" w:ascii="仿宋_GB2312" w:hAnsi="仿宋_GB2312" w:cs="仿宋_GB2312"/>
            </w:rPr>
            <w:fldChar w:fldCharType="end"/>
          </w:r>
        </w:p>
        <w:p>
          <w:pPr>
            <w:pStyle w:val="17"/>
            <w:tabs>
              <w:tab w:val="right" w:leader="dot" w:pos="8296"/>
            </w:tabs>
            <w:spacing w:after="0" w:line="540" w:lineRule="exact"/>
            <w:ind w:firstLine="0" w:firstLineChars="0"/>
            <w:rPr>
              <w:rFonts w:hint="eastAsia" w:ascii="仿宋_GB2312" w:hAnsi="仿宋_GB2312" w:eastAsia="仿宋_GB2312" w:cs="仿宋_GB2312"/>
              <w:b/>
              <w:bCs/>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"_Toc214374509" </w:instrText>
          </w:r>
          <w:r>
            <w:rPr>
              <w:rFonts w:hint="eastAsia" w:ascii="仿宋_GB2312" w:hAnsi="仿宋_GB2312" w:cs="仿宋_GB2312"/>
            </w:rPr>
            <w:fldChar w:fldCharType="separate"/>
          </w:r>
          <w:r>
            <w:rPr>
              <w:rStyle w:val="26"/>
              <w:rFonts w:hint="eastAsia" w:ascii="仿宋_GB2312" w:hAnsi="仿宋_GB2312" w:cs="仿宋_GB2312"/>
              <w:b/>
              <w:bCs/>
              <w:color w:val="auto"/>
            </w:rPr>
            <w:t>五、污染溯源</w:t>
          </w:r>
          <w:r>
            <w:rPr>
              <w:rFonts w:hint="eastAsia" w:ascii="仿宋_GB2312" w:hAnsi="仿宋_GB2312" w:cs="仿宋_GB2312"/>
              <w:b/>
              <w:bCs/>
            </w:rPr>
            <w:tab/>
          </w:r>
          <w:r>
            <w:rPr>
              <w:rFonts w:hint="eastAsia" w:ascii="仿宋_GB2312" w:hAnsi="仿宋_GB2312" w:cs="仿宋_GB2312"/>
              <w:b/>
              <w:bCs/>
            </w:rPr>
            <w:fldChar w:fldCharType="begin"/>
          </w:r>
          <w:r>
            <w:rPr>
              <w:rFonts w:hint="eastAsia" w:ascii="仿宋_GB2312" w:hAnsi="仿宋_GB2312" w:cs="仿宋_GB2312"/>
              <w:b/>
              <w:bCs/>
            </w:rPr>
            <w:instrText xml:space="preserve"> PAGEREF _Toc214374509 \h </w:instrText>
          </w:r>
          <w:r>
            <w:rPr>
              <w:rFonts w:hint="eastAsia" w:ascii="仿宋_GB2312" w:hAnsi="仿宋_GB2312" w:cs="仿宋_GB2312"/>
              <w:b/>
              <w:bCs/>
            </w:rPr>
            <w:fldChar w:fldCharType="separate"/>
          </w:r>
          <w:r>
            <w:rPr>
              <w:rFonts w:hint="eastAsia" w:ascii="仿宋_GB2312" w:hAnsi="仿宋_GB2312" w:cs="仿宋_GB2312"/>
              <w:b/>
              <w:bCs/>
            </w:rPr>
            <w:t>- 10 -</w:t>
          </w:r>
          <w:r>
            <w:rPr>
              <w:rFonts w:hint="eastAsia" w:ascii="仿宋_GB2312" w:hAnsi="仿宋_GB2312" w:cs="仿宋_GB2312"/>
              <w:b/>
              <w:bCs/>
            </w:rPr>
            <w:fldChar w:fldCharType="end"/>
          </w:r>
          <w:r>
            <w:rPr>
              <w:rFonts w:hint="eastAsia" w:ascii="仿宋_GB2312" w:hAnsi="仿宋_GB2312" w:cs="仿宋_GB2312"/>
              <w:b/>
              <w:bCs/>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"_Toc214374510" </w:instrText>
          </w:r>
          <w:r>
            <w:rPr>
              <w:rFonts w:hint="eastAsia" w:ascii="仿宋_GB2312" w:hAnsi="仿宋_GB2312" w:cs="仿宋_GB2312"/>
            </w:rPr>
            <w:fldChar w:fldCharType="separate"/>
          </w:r>
          <w:r>
            <w:rPr>
              <w:rStyle w:val="26"/>
              <w:rFonts w:hint="eastAsia" w:ascii="仿宋_GB2312" w:hAnsi="仿宋_GB2312" w:cs="仿宋_GB2312"/>
              <w:color w:val="auto"/>
            </w:rPr>
            <w:t>（一）基础措施</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_Toc214374510 \h </w:instrText>
          </w:r>
          <w:r>
            <w:rPr>
              <w:rFonts w:hint="eastAsia" w:ascii="仿宋_GB2312" w:hAnsi="仿宋_GB2312" w:cs="仿宋_GB2312"/>
            </w:rPr>
            <w:fldChar w:fldCharType="separate"/>
          </w:r>
          <w:r>
            <w:rPr>
              <w:rFonts w:hint="eastAsia" w:ascii="仿宋_GB2312" w:hAnsi="仿宋_GB2312" w:cs="仿宋_GB2312"/>
            </w:rPr>
            <w:t>- 10 -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"_Toc214374511" </w:instrText>
          </w:r>
          <w:r>
            <w:rPr>
              <w:rFonts w:hint="eastAsia" w:ascii="仿宋_GB2312" w:hAnsi="仿宋_GB2312" w:cs="仿宋_GB2312"/>
            </w:rPr>
            <w:fldChar w:fldCharType="separate"/>
          </w:r>
          <w:r>
            <w:rPr>
              <w:rStyle w:val="26"/>
              <w:rFonts w:hint="eastAsia" w:ascii="仿宋_GB2312" w:hAnsi="仿宋_GB2312" w:cs="仿宋_GB2312"/>
              <w:color w:val="auto"/>
            </w:rPr>
            <w:t>（二）强化措施</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_Toc214374511 \h </w:instrText>
          </w:r>
          <w:r>
            <w:rPr>
              <w:rFonts w:hint="eastAsia" w:ascii="仿宋_GB2312" w:hAnsi="仿宋_GB2312" w:cs="仿宋_GB2312"/>
            </w:rPr>
            <w:fldChar w:fldCharType="separate"/>
          </w:r>
          <w:r>
            <w:rPr>
              <w:rFonts w:hint="eastAsia" w:ascii="仿宋_GB2312" w:hAnsi="仿宋_GB2312" w:cs="仿宋_GB2312"/>
            </w:rPr>
            <w:t>- 11 -</w:t>
          </w:r>
          <w:r>
            <w:rPr>
              <w:rFonts w:hint="eastAsia" w:ascii="仿宋_GB2312" w:hAnsi="仿宋_GB2312" w:cs="仿宋_GB2312"/>
            </w:rPr>
            <w:fldChar w:fldCharType="end"/>
          </w:r>
          <w:r>
            <w:rPr>
              <w:rFonts w:hint="eastAsia" w:ascii="仿宋_GB2312" w:hAnsi="仿宋_GB2312" w:cs="仿宋_GB2312"/>
            </w:rPr>
            <w:fldChar w:fldCharType="end"/>
          </w:r>
        </w:p>
        <w:p>
          <w:pPr>
            <w:pStyle w:val="17"/>
            <w:tabs>
              <w:tab w:val="right" w:leader="dot" w:pos="8296"/>
            </w:tabs>
            <w:spacing w:after="0" w:line="540" w:lineRule="exact"/>
            <w:ind w:firstLine="0" w:firstLineChars="0"/>
            <w:rPr>
              <w:rFonts w:hint="eastAsia" w:ascii="仿宋_GB2312" w:hAnsi="仿宋_GB2312" w:eastAsia="仿宋_GB2312" w:cs="仿宋_GB2312"/>
              <w:b/>
              <w:bCs/>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"_Toc214374512" </w:instrText>
          </w:r>
          <w:r>
            <w:rPr>
              <w:rFonts w:hint="eastAsia" w:ascii="仿宋_GB2312" w:hAnsi="仿宋_GB2312" w:cs="仿宋_GB2312"/>
            </w:rPr>
            <w:fldChar w:fldCharType="separate"/>
          </w:r>
          <w:r>
            <w:rPr>
              <w:rStyle w:val="26"/>
              <w:rFonts w:hint="eastAsia" w:ascii="仿宋_GB2312" w:hAnsi="仿宋_GB2312" w:cs="仿宋_GB2312"/>
              <w:b/>
              <w:bCs/>
              <w:color w:val="auto"/>
            </w:rPr>
            <w:t>六、切断源头</w:t>
          </w:r>
          <w:r>
            <w:rPr>
              <w:rFonts w:hint="eastAsia" w:ascii="仿宋_GB2312" w:hAnsi="仿宋_GB2312" w:cs="仿宋_GB2312"/>
              <w:b/>
              <w:bCs/>
            </w:rPr>
            <w:tab/>
          </w:r>
          <w:r>
            <w:rPr>
              <w:rFonts w:hint="eastAsia" w:ascii="仿宋_GB2312" w:hAnsi="仿宋_GB2312" w:cs="仿宋_GB2312"/>
              <w:b/>
              <w:bCs/>
            </w:rPr>
            <w:fldChar w:fldCharType="begin"/>
          </w:r>
          <w:r>
            <w:rPr>
              <w:rFonts w:hint="eastAsia" w:ascii="仿宋_GB2312" w:hAnsi="仿宋_GB2312" w:cs="仿宋_GB2312"/>
              <w:b/>
              <w:bCs/>
            </w:rPr>
            <w:instrText xml:space="preserve"> PAGEREF _Toc214374512 \h </w:instrText>
          </w:r>
          <w:r>
            <w:rPr>
              <w:rFonts w:hint="eastAsia" w:ascii="仿宋_GB2312" w:hAnsi="仿宋_GB2312" w:cs="仿宋_GB2312"/>
              <w:b/>
              <w:bCs/>
            </w:rPr>
            <w:fldChar w:fldCharType="separate"/>
          </w:r>
          <w:r>
            <w:rPr>
              <w:rFonts w:hint="eastAsia" w:ascii="仿宋_GB2312" w:hAnsi="仿宋_GB2312" w:cs="仿宋_GB2312"/>
              <w:b/>
              <w:bCs/>
            </w:rPr>
            <w:t>- 12 -</w:t>
          </w:r>
          <w:r>
            <w:rPr>
              <w:rFonts w:hint="eastAsia" w:ascii="仿宋_GB2312" w:hAnsi="仿宋_GB2312" w:cs="仿宋_GB2312"/>
              <w:b/>
              <w:bCs/>
            </w:rPr>
            <w:fldChar w:fldCharType="end"/>
          </w:r>
          <w:r>
            <w:rPr>
              <w:rFonts w:hint="eastAsia" w:ascii="仿宋_GB2312" w:hAnsi="仿宋_GB2312" w:cs="仿宋_GB2312"/>
              <w:b/>
              <w:bCs/>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"_Toc214374513" </w:instrText>
          </w:r>
          <w:r>
            <w:rPr>
              <w:rFonts w:hint="eastAsia" w:ascii="仿宋_GB2312" w:hAnsi="仿宋_GB2312" w:cs="仿宋_GB2312"/>
            </w:rPr>
            <w:fldChar w:fldCharType="separate"/>
          </w:r>
          <w:r>
            <w:rPr>
              <w:rStyle w:val="26"/>
              <w:rFonts w:hint="eastAsia" w:ascii="仿宋_GB2312" w:hAnsi="仿宋_GB2312" w:cs="仿宋_GB2312"/>
              <w:color w:val="auto"/>
            </w:rPr>
            <w:t>（一）基础措施</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_Toc214374513 \h </w:instrText>
          </w:r>
          <w:r>
            <w:rPr>
              <w:rFonts w:hint="eastAsia" w:ascii="仿宋_GB2312" w:hAnsi="仿宋_GB2312" w:cs="仿宋_GB2312"/>
            </w:rPr>
            <w:fldChar w:fldCharType="separate"/>
          </w:r>
          <w:r>
            <w:rPr>
              <w:rFonts w:hint="eastAsia" w:ascii="仿宋_GB2312" w:hAnsi="仿宋_GB2312" w:cs="仿宋_GB2312"/>
            </w:rPr>
            <w:t>- 12 -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"_Toc214374514" </w:instrText>
          </w:r>
          <w:r>
            <w:rPr>
              <w:rFonts w:hint="eastAsia" w:ascii="仿宋_GB2312" w:hAnsi="仿宋_GB2312" w:cs="仿宋_GB2312"/>
            </w:rPr>
            <w:fldChar w:fldCharType="separate"/>
          </w:r>
          <w:r>
            <w:rPr>
              <w:rStyle w:val="26"/>
              <w:rFonts w:hint="eastAsia" w:ascii="仿宋_GB2312" w:hAnsi="仿宋_GB2312" w:cs="仿宋_GB2312"/>
              <w:color w:val="auto"/>
            </w:rPr>
            <w:t>（二）强化措施</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_Toc214374514 \h </w:instrText>
          </w:r>
          <w:r>
            <w:rPr>
              <w:rFonts w:hint="eastAsia" w:ascii="仿宋_GB2312" w:hAnsi="仿宋_GB2312" w:cs="仿宋_GB2312"/>
            </w:rPr>
            <w:fldChar w:fldCharType="separate"/>
          </w:r>
          <w:r>
            <w:rPr>
              <w:rFonts w:hint="eastAsia" w:ascii="仿宋_GB2312" w:hAnsi="仿宋_GB2312" w:cs="仿宋_GB2312"/>
            </w:rPr>
            <w:t>- 14 -</w:t>
          </w:r>
          <w:r>
            <w:rPr>
              <w:rFonts w:hint="eastAsia" w:ascii="仿宋_GB2312" w:hAnsi="仿宋_GB2312" w:cs="仿宋_GB2312"/>
            </w:rPr>
            <w:fldChar w:fldCharType="end"/>
          </w:r>
          <w:r>
            <w:rPr>
              <w:rFonts w:hint="eastAsia" w:ascii="仿宋_GB2312" w:hAnsi="仿宋_GB2312" w:cs="仿宋_GB2312"/>
            </w:rPr>
            <w:fldChar w:fldCharType="end"/>
          </w:r>
        </w:p>
        <w:p>
          <w:pPr>
            <w:pStyle w:val="17"/>
            <w:tabs>
              <w:tab w:val="right" w:leader="dot" w:pos="8296"/>
            </w:tabs>
            <w:spacing w:after="0" w:line="540" w:lineRule="exact"/>
            <w:ind w:firstLine="0" w:firstLineChars="0"/>
            <w:rPr>
              <w:rFonts w:hint="eastAsia" w:ascii="仿宋_GB2312" w:hAnsi="仿宋_GB2312" w:eastAsia="仿宋_GB2312" w:cs="仿宋_GB2312"/>
              <w:b/>
              <w:bCs/>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"_Toc214374515" </w:instrText>
          </w:r>
          <w:r>
            <w:rPr>
              <w:rFonts w:hint="eastAsia" w:ascii="仿宋_GB2312" w:hAnsi="仿宋_GB2312" w:cs="仿宋_GB2312"/>
            </w:rPr>
            <w:fldChar w:fldCharType="separate"/>
          </w:r>
          <w:r>
            <w:rPr>
              <w:rStyle w:val="26"/>
              <w:rFonts w:hint="eastAsia" w:ascii="仿宋_GB2312" w:hAnsi="仿宋_GB2312" w:cs="仿宋_GB2312"/>
              <w:b/>
              <w:bCs/>
              <w:color w:val="auto"/>
            </w:rPr>
            <w:t>七、管控修复</w:t>
          </w:r>
          <w:r>
            <w:rPr>
              <w:rFonts w:hint="eastAsia" w:ascii="仿宋_GB2312" w:hAnsi="仿宋_GB2312" w:cs="仿宋_GB2312"/>
              <w:b/>
              <w:bCs/>
            </w:rPr>
            <w:tab/>
          </w:r>
          <w:r>
            <w:rPr>
              <w:rFonts w:hint="eastAsia" w:ascii="仿宋_GB2312" w:hAnsi="仿宋_GB2312" w:cs="仿宋_GB2312"/>
              <w:b/>
              <w:bCs/>
            </w:rPr>
            <w:fldChar w:fldCharType="begin"/>
          </w:r>
          <w:r>
            <w:rPr>
              <w:rFonts w:hint="eastAsia" w:ascii="仿宋_GB2312" w:hAnsi="仿宋_GB2312" w:cs="仿宋_GB2312"/>
              <w:b/>
              <w:bCs/>
            </w:rPr>
            <w:instrText xml:space="preserve"> PAGEREF _Toc214374515 \h </w:instrText>
          </w:r>
          <w:r>
            <w:rPr>
              <w:rFonts w:hint="eastAsia" w:ascii="仿宋_GB2312" w:hAnsi="仿宋_GB2312" w:cs="仿宋_GB2312"/>
              <w:b/>
              <w:bCs/>
            </w:rPr>
            <w:fldChar w:fldCharType="separate"/>
          </w:r>
          <w:r>
            <w:rPr>
              <w:rFonts w:hint="eastAsia" w:ascii="仿宋_GB2312" w:hAnsi="仿宋_GB2312" w:cs="仿宋_GB2312"/>
              <w:b/>
              <w:bCs/>
            </w:rPr>
            <w:t>- 14 -</w:t>
          </w:r>
          <w:r>
            <w:rPr>
              <w:rFonts w:hint="eastAsia" w:ascii="仿宋_GB2312" w:hAnsi="仿宋_GB2312" w:cs="仿宋_GB2312"/>
              <w:b/>
              <w:bCs/>
            </w:rPr>
            <w:fldChar w:fldCharType="end"/>
          </w:r>
          <w:r>
            <w:rPr>
              <w:rFonts w:hint="eastAsia" w:ascii="仿宋_GB2312" w:hAnsi="仿宋_GB2312" w:cs="仿宋_GB2312"/>
              <w:b/>
              <w:bCs/>
            </w:rPr>
            <w:fldChar w:fldCharType="end"/>
          </w:r>
        </w:p>
        <w:p>
          <w:pPr>
            <w:pStyle w:val="17"/>
            <w:tabs>
              <w:tab w:val="right" w:leader="dot" w:pos="8296"/>
            </w:tabs>
            <w:spacing w:after="0" w:line="540" w:lineRule="exact"/>
            <w:ind w:firstLine="0" w:firstLineChars="0"/>
            <w:rPr>
              <w:rFonts w:hint="eastAsia" w:ascii="仿宋_GB2312" w:hAnsi="仿宋_GB2312" w:eastAsia="仿宋_GB2312" w:cs="仿宋_GB2312"/>
              <w:b/>
              <w:bCs/>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"_Toc214374516" </w:instrText>
          </w:r>
          <w:r>
            <w:rPr>
              <w:rFonts w:hint="eastAsia" w:ascii="仿宋_GB2312" w:hAnsi="仿宋_GB2312" w:cs="仿宋_GB2312"/>
            </w:rPr>
            <w:fldChar w:fldCharType="separate"/>
          </w:r>
          <w:r>
            <w:rPr>
              <w:rStyle w:val="26"/>
              <w:rFonts w:hint="eastAsia" w:ascii="仿宋_GB2312" w:hAnsi="仿宋_GB2312" w:cs="仿宋_GB2312"/>
              <w:b/>
              <w:bCs/>
              <w:color w:val="auto"/>
            </w:rPr>
            <w:t>八、效果评估</w:t>
          </w:r>
          <w:r>
            <w:rPr>
              <w:rFonts w:hint="eastAsia" w:ascii="仿宋_GB2312" w:hAnsi="仿宋_GB2312" w:cs="仿宋_GB2312"/>
              <w:b/>
              <w:bCs/>
            </w:rPr>
            <w:tab/>
          </w:r>
          <w:r>
            <w:rPr>
              <w:rFonts w:hint="eastAsia" w:ascii="仿宋_GB2312" w:hAnsi="仿宋_GB2312" w:cs="仿宋_GB2312"/>
              <w:b/>
              <w:bCs/>
            </w:rPr>
            <w:fldChar w:fldCharType="begin"/>
          </w:r>
          <w:r>
            <w:rPr>
              <w:rFonts w:hint="eastAsia" w:ascii="仿宋_GB2312" w:hAnsi="仿宋_GB2312" w:cs="仿宋_GB2312"/>
              <w:b/>
              <w:bCs/>
            </w:rPr>
            <w:instrText xml:space="preserve"> PAGEREF _Toc214374516 \h </w:instrText>
          </w:r>
          <w:r>
            <w:rPr>
              <w:rFonts w:hint="eastAsia" w:ascii="仿宋_GB2312" w:hAnsi="仿宋_GB2312" w:cs="仿宋_GB2312"/>
              <w:b/>
              <w:bCs/>
            </w:rPr>
            <w:fldChar w:fldCharType="separate"/>
          </w:r>
          <w:r>
            <w:rPr>
              <w:rFonts w:hint="eastAsia" w:ascii="仿宋_GB2312" w:hAnsi="仿宋_GB2312" w:cs="仿宋_GB2312"/>
              <w:b/>
              <w:bCs/>
            </w:rPr>
            <w:t>- 16 -</w:t>
          </w:r>
          <w:r>
            <w:rPr>
              <w:rFonts w:hint="eastAsia" w:ascii="仿宋_GB2312" w:hAnsi="仿宋_GB2312" w:cs="仿宋_GB2312"/>
              <w:b/>
              <w:bCs/>
            </w:rPr>
            <w:fldChar w:fldCharType="end"/>
          </w:r>
          <w:r>
            <w:rPr>
              <w:rFonts w:hint="eastAsia" w:ascii="仿宋_GB2312" w:hAnsi="仿宋_GB2312" w:cs="仿宋_GB2312"/>
              <w:b/>
              <w:bCs/>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"_Toc214374517" </w:instrText>
          </w:r>
          <w:r>
            <w:rPr>
              <w:rFonts w:hint="eastAsia" w:ascii="仿宋_GB2312" w:hAnsi="仿宋_GB2312" w:cs="仿宋_GB2312"/>
            </w:rPr>
            <w:fldChar w:fldCharType="separate"/>
          </w:r>
          <w:r>
            <w:rPr>
              <w:rStyle w:val="26"/>
              <w:rFonts w:hint="eastAsia" w:ascii="仿宋_GB2312" w:hAnsi="仿宋_GB2312" w:cs="仿宋_GB2312"/>
              <w:color w:val="auto"/>
            </w:rPr>
            <w:t>（一）总体目标</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_Toc214374517 \h </w:instrText>
          </w:r>
          <w:r>
            <w:rPr>
              <w:rFonts w:hint="eastAsia" w:ascii="仿宋_GB2312" w:hAnsi="仿宋_GB2312" w:cs="仿宋_GB2312"/>
            </w:rPr>
            <w:fldChar w:fldCharType="separate"/>
          </w:r>
          <w:r>
            <w:rPr>
              <w:rFonts w:hint="eastAsia" w:ascii="仿宋_GB2312" w:hAnsi="仿宋_GB2312" w:cs="仿宋_GB2312"/>
            </w:rPr>
            <w:t>- 16 -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"_Toc214374518" </w:instrText>
          </w:r>
          <w:r>
            <w:rPr>
              <w:rFonts w:hint="eastAsia" w:ascii="仿宋_GB2312" w:hAnsi="仿宋_GB2312" w:cs="仿宋_GB2312"/>
            </w:rPr>
            <w:fldChar w:fldCharType="separate"/>
          </w:r>
          <w:r>
            <w:rPr>
              <w:rStyle w:val="26"/>
              <w:rFonts w:hint="eastAsia" w:ascii="仿宋_GB2312" w:hAnsi="仿宋_GB2312" w:cs="仿宋_GB2312"/>
              <w:color w:val="auto"/>
            </w:rPr>
            <w:t>（二）近期目标效果评估</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_Toc214374518 \h </w:instrText>
          </w:r>
          <w:r>
            <w:rPr>
              <w:rFonts w:hint="eastAsia" w:ascii="仿宋_GB2312" w:hAnsi="仿宋_GB2312" w:cs="仿宋_GB2312"/>
            </w:rPr>
            <w:fldChar w:fldCharType="separate"/>
          </w:r>
          <w:r>
            <w:rPr>
              <w:rFonts w:hint="eastAsia" w:ascii="仿宋_GB2312" w:hAnsi="仿宋_GB2312" w:cs="仿宋_GB2312"/>
            </w:rPr>
            <w:t>- 17 -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"_Toc214374519" </w:instrText>
          </w:r>
          <w:r>
            <w:rPr>
              <w:rFonts w:hint="eastAsia" w:ascii="仿宋_GB2312" w:hAnsi="仿宋_GB2312" w:cs="仿宋_GB2312"/>
            </w:rPr>
            <w:fldChar w:fldCharType="separate"/>
          </w:r>
          <w:r>
            <w:rPr>
              <w:rStyle w:val="26"/>
              <w:rFonts w:hint="eastAsia" w:ascii="仿宋_GB2312" w:hAnsi="仿宋_GB2312" w:cs="仿宋_GB2312"/>
              <w:color w:val="auto"/>
            </w:rPr>
            <w:t>（三）中期目标效果评估</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_Toc214374519 \h </w:instrText>
          </w:r>
          <w:r>
            <w:rPr>
              <w:rFonts w:hint="eastAsia" w:ascii="仿宋_GB2312" w:hAnsi="仿宋_GB2312" w:cs="仿宋_GB2312"/>
            </w:rPr>
            <w:fldChar w:fldCharType="separate"/>
          </w:r>
          <w:r>
            <w:rPr>
              <w:rFonts w:hint="eastAsia" w:ascii="仿宋_GB2312" w:hAnsi="仿宋_GB2312" w:cs="仿宋_GB2312"/>
            </w:rPr>
            <w:t>- 17 -</w:t>
          </w:r>
          <w:r>
            <w:rPr>
              <w:rFonts w:hint="eastAsia" w:ascii="仿宋_GB2312" w:hAnsi="仿宋_GB2312" w:cs="仿宋_GB2312"/>
            </w:rPr>
            <w:fldChar w:fldCharType="end"/>
          </w:r>
          <w:r>
            <w:rPr>
              <w:rFonts w:hint="eastAsia" w:ascii="仿宋_GB2312" w:hAnsi="仿宋_GB2312" w:cs="仿宋_GB2312"/>
            </w:rPr>
            <w:fldChar w:fldCharType="end"/>
          </w:r>
        </w:p>
        <w:p>
          <w:pPr>
            <w:pStyle w:val="20"/>
            <w:tabs>
              <w:tab w:val="right" w:leader="dot" w:pos="8296"/>
            </w:tabs>
            <w:spacing w:after="0" w:line="540" w:lineRule="exact"/>
            <w:ind w:left="600" w:firstLine="0" w:firstLineChars="0"/>
            <w:rPr>
              <w:rFonts w:hint="eastAsia" w:ascii="仿宋_GB2312" w:hAnsi="仿宋_GB2312" w:eastAsia="仿宋_GB2312" w:cs="仿宋_GB2312"/>
              <w:sz w:val="22"/>
              <w:szCs w:val="24"/>
              <w14:ligatures w14:val="standardContextual"/>
            </w:rPr>
          </w:pPr>
          <w:r>
            <w:rPr>
              <w:rFonts w:hint="eastAsia" w:ascii="仿宋_GB2312" w:hAnsi="仿宋_GB2312" w:cs="仿宋_GB2312"/>
            </w:rPr>
            <w:fldChar w:fldCharType="begin"/>
          </w:r>
          <w:r>
            <w:rPr>
              <w:rFonts w:hint="eastAsia" w:ascii="仿宋_GB2312" w:hAnsi="仿宋_GB2312" w:cs="仿宋_GB2312"/>
            </w:rPr>
            <w:instrText xml:space="preserve"> HYPERLINK \l "_Toc214374520" </w:instrText>
          </w:r>
          <w:r>
            <w:rPr>
              <w:rFonts w:hint="eastAsia" w:ascii="仿宋_GB2312" w:hAnsi="仿宋_GB2312" w:cs="仿宋_GB2312"/>
            </w:rPr>
            <w:fldChar w:fldCharType="separate"/>
          </w:r>
          <w:r>
            <w:rPr>
              <w:rStyle w:val="26"/>
              <w:rFonts w:hint="eastAsia" w:ascii="仿宋_GB2312" w:hAnsi="仿宋_GB2312" w:cs="仿宋_GB2312"/>
              <w:color w:val="auto"/>
            </w:rPr>
            <w:t>（四）远期目标效果评估</w:t>
          </w:r>
          <w:r>
            <w:rPr>
              <w:rFonts w:hint="eastAsia" w:ascii="仿宋_GB2312" w:hAnsi="仿宋_GB2312" w:cs="仿宋_GB2312"/>
            </w:rPr>
            <w:tab/>
          </w:r>
          <w:r>
            <w:rPr>
              <w:rFonts w:hint="eastAsia" w:ascii="仿宋_GB2312" w:hAnsi="仿宋_GB2312" w:cs="仿宋_GB2312"/>
            </w:rPr>
            <w:fldChar w:fldCharType="begin"/>
          </w:r>
          <w:r>
            <w:rPr>
              <w:rFonts w:hint="eastAsia" w:ascii="仿宋_GB2312" w:hAnsi="仿宋_GB2312" w:cs="仿宋_GB2312"/>
            </w:rPr>
            <w:instrText xml:space="preserve"> PAGEREF _Toc214374520 \h </w:instrText>
          </w:r>
          <w:r>
            <w:rPr>
              <w:rFonts w:hint="eastAsia" w:ascii="仿宋_GB2312" w:hAnsi="仿宋_GB2312" w:cs="仿宋_GB2312"/>
            </w:rPr>
            <w:fldChar w:fldCharType="separate"/>
          </w:r>
          <w:r>
            <w:rPr>
              <w:rFonts w:hint="eastAsia" w:ascii="仿宋_GB2312" w:hAnsi="仿宋_GB2312" w:cs="仿宋_GB2312"/>
            </w:rPr>
            <w:t>- 17 -</w:t>
          </w:r>
          <w:r>
            <w:rPr>
              <w:rFonts w:hint="eastAsia" w:ascii="仿宋_GB2312" w:hAnsi="仿宋_GB2312" w:cs="仿宋_GB2312"/>
            </w:rPr>
            <w:fldChar w:fldCharType="end"/>
          </w:r>
          <w:r>
            <w:rPr>
              <w:rFonts w:hint="eastAsia" w:ascii="仿宋_GB2312" w:hAnsi="仿宋_GB2312" w:cs="仿宋_GB2312"/>
            </w:rPr>
            <w:fldChar w:fldCharType="end"/>
          </w:r>
        </w:p>
        <w:p>
          <w:pPr>
            <w:pStyle w:val="4"/>
            <w:spacing w:after="0" w:line="560" w:lineRule="exact"/>
            <w:ind w:firstLine="602" w:firstLineChars="0"/>
          </w:pPr>
          <w:r>
            <w:rPr>
              <w:rFonts w:hint="eastAsia" w:ascii="仿宋_GB2312" w:hAnsi="仿宋_GB2312" w:cs="仿宋_GB2312"/>
              <w:b/>
              <w:bCs/>
              <w:lang w:val="zh-CN"/>
            </w:rPr>
            <w:fldChar w:fldCharType="end"/>
          </w:r>
          <w:bookmarkStart w:id="8" w:name="_Toc214374499"/>
        </w:p>
      </w:sdtContent>
    </w:sdt>
    <w:p>
      <w:pPr>
        <w:pStyle w:val="4"/>
        <w:spacing w:after="0" w:line="560" w:lineRule="exact"/>
        <w:ind w:firstLine="602"/>
        <w:rPr>
          <w:rFonts w:hint="eastAsia"/>
          <w:color w:val="auto"/>
          <w:sz w:val="32"/>
          <w:szCs w:val="32"/>
        </w:rPr>
      </w:pPr>
      <w:r>
        <w:rPr>
          <w:rFonts w:hint="eastAsia"/>
          <w:color w:val="auto"/>
          <w:sz w:val="32"/>
          <w:szCs w:val="32"/>
        </w:rPr>
        <w:t>一、定义及适用范围</w:t>
      </w:r>
      <w:bookmarkEnd w:id="8"/>
    </w:p>
    <w:p>
      <w:pPr>
        <w:spacing w:after="0" w:line="560" w:lineRule="exact"/>
        <w:ind w:firstLine="602"/>
        <w:rPr>
          <w:rFonts w:ascii="Times New Roman" w:hAnsi="Times New Roman"/>
          <w:sz w:val="32"/>
          <w:szCs w:val="24"/>
        </w:rPr>
      </w:pPr>
      <w:r>
        <w:rPr>
          <w:rFonts w:hint="eastAsia" w:ascii="Times New Roman" w:hAnsi="Times New Roman"/>
          <w:sz w:val="32"/>
          <w:szCs w:val="24"/>
        </w:rPr>
        <w:t>边生产边管控是指在保障企业安全生产的前提下，开展土壤和地下水污染管控或修复活动，确保污染不加重、不扩散，保障企业内人群健康及周边敏感受体环境安全。</w:t>
      </w:r>
    </w:p>
    <w:p>
      <w:pPr>
        <w:spacing w:after="0" w:line="560" w:lineRule="exact"/>
        <w:ind w:firstLine="602"/>
        <w:rPr>
          <w:rFonts w:ascii="Times New Roman" w:hAnsi="Times New Roman"/>
          <w:color w:val="auto"/>
          <w:sz w:val="32"/>
          <w:szCs w:val="24"/>
        </w:rPr>
      </w:pPr>
      <w:r>
        <w:rPr>
          <w:rFonts w:hint="eastAsia" w:ascii="Times New Roman" w:hAnsi="Times New Roman"/>
          <w:color w:val="auto"/>
          <w:sz w:val="32"/>
          <w:szCs w:val="24"/>
        </w:rPr>
        <w:t>深圳市土壤污染重点监管单位（以下简称重点监管单位）根据本指引第三条判定存在土壤和地下水污染风险的，可参考本指引的</w:t>
      </w:r>
      <w:r>
        <w:rPr>
          <w:rFonts w:ascii="Times New Roman" w:hAnsi="Times New Roman" w:cs="仿宋_GB2312"/>
          <w:color w:val="auto"/>
          <w:sz w:val="32"/>
          <w:szCs w:val="32"/>
        </w:rPr>
        <w:t>实施</w:t>
      </w:r>
      <w:r>
        <w:rPr>
          <w:rFonts w:hint="eastAsia" w:ascii="Times New Roman" w:hAnsi="Times New Roman" w:cs="仿宋_GB2312"/>
          <w:color w:val="auto"/>
          <w:sz w:val="32"/>
          <w:szCs w:val="32"/>
        </w:rPr>
        <w:t>流程，</w:t>
      </w:r>
      <w:r>
        <w:rPr>
          <w:rFonts w:ascii="Times New Roman" w:hAnsi="Times New Roman" w:cs="仿宋_GB2312"/>
          <w:color w:val="auto"/>
          <w:sz w:val="32"/>
          <w:szCs w:val="32"/>
        </w:rPr>
        <w:t>按步骤分阶段、渐进式</w:t>
      </w:r>
      <w:r>
        <w:rPr>
          <w:rFonts w:hint="eastAsia" w:ascii="Times New Roman" w:hAnsi="Times New Roman" w:cs="仿宋_GB2312"/>
          <w:color w:val="auto"/>
          <w:sz w:val="32"/>
          <w:szCs w:val="32"/>
        </w:rPr>
        <w:t>自行</w:t>
      </w:r>
      <w:r>
        <w:rPr>
          <w:rFonts w:hint="eastAsia" w:ascii="Times New Roman" w:hAnsi="Times New Roman"/>
          <w:color w:val="auto"/>
          <w:sz w:val="32"/>
          <w:szCs w:val="24"/>
        </w:rPr>
        <w:t>组织开展边生产边管控。</w:t>
      </w:r>
    </w:p>
    <w:p>
      <w:pPr>
        <w:spacing w:after="0" w:line="560" w:lineRule="exact"/>
        <w:ind w:firstLine="602"/>
        <w:rPr>
          <w:rFonts w:ascii="Times New Roman" w:hAnsi="Times New Roman"/>
          <w:color w:val="auto"/>
          <w:sz w:val="32"/>
          <w:szCs w:val="24"/>
        </w:rPr>
      </w:pPr>
      <w:bookmarkStart w:id="9" w:name="OLE_LINK40"/>
      <w:r>
        <w:rPr>
          <w:rFonts w:hint="eastAsia" w:ascii="Times New Roman" w:hAnsi="Times New Roman"/>
          <w:color w:val="auto"/>
          <w:sz w:val="32"/>
          <w:szCs w:val="24"/>
        </w:rPr>
        <w:t>其他一般在产企业开展土壤和地下水污染边生产边管控工作，可参照本指引。</w:t>
      </w:r>
    </w:p>
    <w:bookmarkEnd w:id="9"/>
    <w:p>
      <w:pPr>
        <w:spacing w:after="0" w:line="560" w:lineRule="exact"/>
        <w:ind w:firstLine="602"/>
        <w:rPr>
          <w:rFonts w:ascii="Times New Roman" w:hAnsi="Times New Roman"/>
          <w:color w:val="auto"/>
          <w:sz w:val="32"/>
          <w:szCs w:val="24"/>
        </w:rPr>
      </w:pPr>
      <w:r>
        <w:rPr>
          <w:rFonts w:hint="eastAsia" w:ascii="Times New Roman" w:hAnsi="Times New Roman"/>
          <w:color w:val="auto"/>
          <w:sz w:val="32"/>
          <w:szCs w:val="24"/>
        </w:rPr>
        <w:t>本指引为推荐性技术文件，企业在组织实施边生产边管控工作时可作为技术参考。但需特别说明，本指引不免除企业应遵守</w:t>
      </w:r>
      <w:r>
        <w:rPr>
          <w:rFonts w:hint="eastAsia" w:ascii="Times New Roman" w:hAnsi="Times New Roman" w:cs="仿宋_GB2312"/>
          <w:color w:val="auto"/>
          <w:sz w:val="32"/>
          <w:szCs w:val="32"/>
        </w:rPr>
        <w:t>《中华人民共和国土壤污染防治法》</w:t>
      </w:r>
      <w:r>
        <w:rPr>
          <w:rFonts w:hint="eastAsia" w:ascii="Times New Roman" w:hAnsi="Times New Roman"/>
          <w:color w:val="auto"/>
          <w:sz w:val="32"/>
          <w:szCs w:val="24"/>
        </w:rPr>
        <w:t>《工矿用地土壤环境管理办法》等国家法律法规中规定的各项强制性义务。</w:t>
      </w:r>
    </w:p>
    <w:p>
      <w:pPr>
        <w:spacing w:after="0" w:line="560" w:lineRule="exact"/>
        <w:ind w:firstLine="602"/>
        <w:rPr>
          <w:rFonts w:ascii="Times New Roman" w:hAnsi="Times New Roman"/>
          <w:color w:val="auto"/>
        </w:rPr>
      </w:pPr>
      <w:r>
        <w:rPr>
          <w:rFonts w:hint="eastAsia" w:ascii="Times New Roman" w:hAnsi="Times New Roman"/>
          <w:color w:val="auto"/>
          <w:sz w:val="32"/>
          <w:szCs w:val="24"/>
        </w:rPr>
        <w:t>本指引未规定事宜，应符合国家和行业有关标准的要求或规定。</w:t>
      </w:r>
    </w:p>
    <w:p>
      <w:pPr>
        <w:pStyle w:val="4"/>
        <w:spacing w:after="0" w:line="560" w:lineRule="exact"/>
        <w:ind w:firstLine="602"/>
        <w:rPr>
          <w:color w:val="auto"/>
          <w:sz w:val="32"/>
          <w:szCs w:val="32"/>
        </w:rPr>
      </w:pPr>
      <w:bookmarkStart w:id="10" w:name="_Toc214374500"/>
      <w:bookmarkStart w:id="11" w:name="OLE_LINK10"/>
      <w:r>
        <w:rPr>
          <w:rFonts w:hint="eastAsia"/>
          <w:color w:val="auto"/>
          <w:sz w:val="32"/>
          <w:szCs w:val="32"/>
        </w:rPr>
        <w:t>二、工作内容与方式</w:t>
      </w:r>
      <w:bookmarkEnd w:id="10"/>
    </w:p>
    <w:bookmarkEnd w:id="11"/>
    <w:p>
      <w:pPr>
        <w:pStyle w:val="5"/>
        <w:spacing w:before="0" w:after="0" w:line="560" w:lineRule="exact"/>
        <w:ind w:firstLine="602"/>
        <w:rPr>
          <w:color w:val="auto"/>
        </w:rPr>
      </w:pPr>
      <w:bookmarkStart w:id="12" w:name="_Toc214374501"/>
      <w:bookmarkStart w:id="13" w:name="OLE_LINK9"/>
      <w:r>
        <w:rPr>
          <w:rFonts w:hint="eastAsia"/>
          <w:color w:val="auto"/>
        </w:rPr>
        <w:t>（一）</w:t>
      </w:r>
      <w:bookmarkStart w:id="14" w:name="OLE_LINK38"/>
      <w:r>
        <w:rPr>
          <w:rFonts w:hint="eastAsia"/>
          <w:color w:val="auto"/>
        </w:rPr>
        <w:t>工作内容</w:t>
      </w:r>
      <w:bookmarkEnd w:id="12"/>
      <w:bookmarkEnd w:id="14"/>
    </w:p>
    <w:p>
      <w:pPr>
        <w:spacing w:after="0" w:line="560" w:lineRule="exact"/>
        <w:ind w:firstLine="602"/>
        <w:rPr>
          <w:rFonts w:hint="eastAsia" w:ascii="仿宋_GB2312" w:hAnsi="仿宋_GB2312" w:cs="仿宋_GB2312"/>
          <w:sz w:val="32"/>
          <w:szCs w:val="24"/>
        </w:rPr>
      </w:pPr>
      <w:r>
        <w:rPr>
          <w:rFonts w:hint="eastAsia" w:ascii="仿宋_GB2312" w:hAnsi="仿宋_GB2312" w:cs="仿宋_GB2312"/>
          <w:color w:val="auto"/>
          <w:sz w:val="32"/>
          <w:szCs w:val="24"/>
        </w:rPr>
        <w:t>边生产边管控工作应遵循渐进式推进原则，主要包括土</w:t>
      </w:r>
      <w:bookmarkStart w:id="15" w:name="_Hlk207834534"/>
      <w:r>
        <w:rPr>
          <w:rFonts w:hint="eastAsia" w:ascii="仿宋_GB2312" w:hAnsi="仿宋_GB2312" w:cs="仿宋_GB2312"/>
          <w:color w:val="auto"/>
          <w:sz w:val="32"/>
          <w:szCs w:val="24"/>
        </w:rPr>
        <w:t>壤和地下水污染风险判定、监测预警、污染溯源</w:t>
      </w:r>
      <w:r>
        <w:rPr>
          <w:rFonts w:hint="eastAsia" w:ascii="仿宋_GB2312" w:hAnsi="仿宋_GB2312" w:cs="仿宋_GB2312"/>
          <w:sz w:val="32"/>
          <w:szCs w:val="24"/>
        </w:rPr>
        <w:t>、切断源头、管控修复、效果评估等</w:t>
      </w:r>
      <w:bookmarkEnd w:id="15"/>
      <w:r>
        <w:rPr>
          <w:rFonts w:hint="eastAsia" w:ascii="仿宋_GB2312" w:hAnsi="仿宋_GB2312" w:cs="仿宋_GB2312"/>
          <w:sz w:val="32"/>
          <w:szCs w:val="24"/>
        </w:rPr>
        <w:t>，工作流程详见图1。</w:t>
      </w:r>
    </w:p>
    <w:bookmarkEnd w:id="13"/>
    <w:p>
      <w:pPr>
        <w:pStyle w:val="5"/>
        <w:spacing w:before="0" w:after="0" w:line="560" w:lineRule="exact"/>
        <w:ind w:firstLine="602"/>
        <w:rPr>
          <w:color w:val="auto"/>
        </w:rPr>
      </w:pPr>
      <w:bookmarkStart w:id="16" w:name="_Toc214374502"/>
      <w:bookmarkStart w:id="17" w:name="OLE_LINK11"/>
      <w:r>
        <w:rPr>
          <w:rFonts w:hint="eastAsia"/>
          <w:color w:val="auto"/>
        </w:rPr>
        <w:t>（二）</w:t>
      </w:r>
      <w:bookmarkStart w:id="18" w:name="OLE_LINK24"/>
      <w:r>
        <w:rPr>
          <w:rFonts w:hint="eastAsia"/>
          <w:color w:val="auto"/>
        </w:rPr>
        <w:t>工作</w:t>
      </w:r>
      <w:bookmarkEnd w:id="18"/>
      <w:r>
        <w:rPr>
          <w:rFonts w:hint="eastAsia"/>
          <w:color w:val="auto"/>
        </w:rPr>
        <w:t>方式</w:t>
      </w:r>
      <w:bookmarkEnd w:id="16"/>
    </w:p>
    <w:p>
      <w:pPr>
        <w:spacing w:after="0" w:line="560" w:lineRule="exact"/>
        <w:ind w:firstLine="602"/>
        <w:rPr>
          <w:rFonts w:hint="eastAsia" w:ascii="仿宋_GB2312" w:hAnsi="仿宋_GB2312" w:cs="仿宋_GB2312"/>
          <w:sz w:val="32"/>
          <w:szCs w:val="24"/>
        </w:rPr>
      </w:pPr>
      <w:r>
        <w:rPr>
          <w:rFonts w:hint="eastAsia" w:ascii="仿宋_GB2312" w:hAnsi="仿宋_GB2312" w:cs="仿宋_GB2312"/>
          <w:sz w:val="32"/>
          <w:szCs w:val="24"/>
        </w:rPr>
        <w:t>针对</w:t>
      </w:r>
      <w:bookmarkStart w:id="19" w:name="_Hlk207834557"/>
      <w:r>
        <w:rPr>
          <w:rFonts w:hint="eastAsia" w:ascii="仿宋_GB2312" w:hAnsi="仿宋_GB2312" w:cs="仿宋_GB2312"/>
          <w:sz w:val="32"/>
          <w:szCs w:val="24"/>
        </w:rPr>
        <w:t>监测预警、污染溯源、切断源头和管控修复的工作内容，本指引分别提出了基础措施和强化措施。重点监管单位可根据土壤和地下水污染风险情况，</w:t>
      </w:r>
      <w:bookmarkEnd w:id="19"/>
      <w:r>
        <w:rPr>
          <w:rFonts w:hint="eastAsia" w:ascii="仿宋_GB2312" w:hAnsi="仿宋_GB2312" w:cs="仿宋_GB2312"/>
          <w:sz w:val="32"/>
          <w:szCs w:val="24"/>
        </w:rPr>
        <w:t>灵活选择其中一种或两种措施相结合的方式实施工作。</w:t>
      </w:r>
    </w:p>
    <w:p>
      <w:pPr>
        <w:pStyle w:val="42"/>
        <w:spacing w:after="0" w:line="560" w:lineRule="exact"/>
        <w:ind w:left="0" w:firstLine="602"/>
        <w:contextualSpacing w:val="0"/>
        <w:rPr>
          <w:rFonts w:hint="eastAsia" w:ascii="仿宋_GB2312" w:hAnsi="仿宋_GB2312" w:cs="仿宋_GB2312"/>
          <w:sz w:val="32"/>
          <w:szCs w:val="24"/>
        </w:rPr>
      </w:pPr>
      <w:r>
        <w:rPr>
          <w:rFonts w:hint="eastAsia" w:ascii="仿宋_GB2312" w:hAnsi="仿宋_GB2312" w:cs="仿宋_GB2312"/>
          <w:sz w:val="32"/>
          <w:szCs w:val="24"/>
        </w:rPr>
        <w:t>1.</w:t>
      </w:r>
      <w:bookmarkStart w:id="20" w:name="_Hlk207834571"/>
      <w:r>
        <w:rPr>
          <w:rFonts w:hint="eastAsia" w:ascii="仿宋_GB2312" w:hAnsi="仿宋_GB2312" w:cs="仿宋_GB2312"/>
          <w:sz w:val="32"/>
          <w:szCs w:val="24"/>
        </w:rPr>
        <w:t>基础措施：</w:t>
      </w:r>
      <w:bookmarkEnd w:id="20"/>
      <w:r>
        <w:rPr>
          <w:rFonts w:hint="eastAsia" w:ascii="仿宋_GB2312" w:hAnsi="仿宋_GB2312" w:cs="仿宋_GB2312"/>
          <w:sz w:val="32"/>
          <w:szCs w:val="24"/>
        </w:rPr>
        <w:t>措施尽量简单易行，主要包括对潜在污染泄漏点的隐患排查与整改、自行监测等，建议重点监管单位在发现土壤和地下水污染风险后首先采用基础措施进行排查和整治。</w:t>
      </w:r>
    </w:p>
    <w:p>
      <w:pPr>
        <w:pStyle w:val="42"/>
        <w:spacing w:after="0" w:line="560" w:lineRule="exact"/>
        <w:ind w:left="0" w:firstLine="602"/>
        <w:contextualSpacing w:val="0"/>
        <w:rPr>
          <w:rFonts w:hint="eastAsia" w:ascii="仿宋_GB2312" w:hAnsi="仿宋_GB2312" w:cs="仿宋_GB2312"/>
          <w:sz w:val="32"/>
          <w:szCs w:val="24"/>
        </w:rPr>
      </w:pPr>
      <w:r>
        <w:rPr>
          <w:rFonts w:hint="eastAsia" w:ascii="仿宋_GB2312" w:hAnsi="仿宋_GB2312" w:cs="仿宋_GB2312"/>
          <w:sz w:val="32"/>
          <w:szCs w:val="24"/>
        </w:rPr>
        <w:t>2.</w:t>
      </w:r>
      <w:bookmarkStart w:id="21" w:name="_Hlk207834576"/>
      <w:r>
        <w:rPr>
          <w:rFonts w:hint="eastAsia" w:ascii="仿宋_GB2312" w:hAnsi="仿宋_GB2312" w:cs="仿宋_GB2312"/>
          <w:sz w:val="32"/>
          <w:szCs w:val="24"/>
        </w:rPr>
        <w:t>强化措施：</w:t>
      </w:r>
      <w:bookmarkEnd w:id="21"/>
      <w:r>
        <w:rPr>
          <w:rFonts w:hint="eastAsia" w:ascii="仿宋_GB2312" w:hAnsi="仿宋_GB2312" w:cs="仿宋_GB2312"/>
          <w:sz w:val="32"/>
          <w:szCs w:val="24"/>
        </w:rPr>
        <w:t>如基础措施无法查明污染源或无法遏制污染扩散，</w:t>
      </w:r>
      <w:bookmarkStart w:id="22" w:name="OLE_LINK32"/>
      <w:r>
        <w:rPr>
          <w:rFonts w:hint="eastAsia" w:ascii="仿宋_GB2312" w:hAnsi="仿宋_GB2312" w:cs="仿宋_GB2312"/>
          <w:sz w:val="32"/>
          <w:szCs w:val="24"/>
        </w:rPr>
        <w:t>重点监管单位</w:t>
      </w:r>
      <w:bookmarkEnd w:id="22"/>
      <w:r>
        <w:rPr>
          <w:rFonts w:hint="eastAsia" w:ascii="仿宋_GB2312" w:hAnsi="仿宋_GB2312" w:cs="仿宋_GB2312"/>
          <w:sz w:val="32"/>
          <w:szCs w:val="24"/>
        </w:rPr>
        <w:t>可在基础措施之上自行或委托专业机构实施强化措施。</w:t>
      </w:r>
    </w:p>
    <w:p>
      <w:pPr>
        <w:pStyle w:val="5"/>
        <w:spacing w:before="0" w:after="0" w:line="560" w:lineRule="exact"/>
        <w:ind w:firstLine="602"/>
        <w:rPr>
          <w:color w:val="auto"/>
        </w:rPr>
      </w:pPr>
      <w:bookmarkStart w:id="23" w:name="_Toc214374503"/>
      <w:r>
        <w:rPr>
          <w:rFonts w:hint="eastAsia"/>
          <w:color w:val="auto"/>
        </w:rPr>
        <w:t>（三）工作要求</w:t>
      </w:r>
      <w:bookmarkEnd w:id="23"/>
    </w:p>
    <w:p>
      <w:pPr>
        <w:pStyle w:val="42"/>
        <w:spacing w:after="0" w:line="560" w:lineRule="exact"/>
        <w:ind w:left="0" w:firstLine="602"/>
        <w:contextualSpacing w:val="0"/>
        <w:rPr>
          <w:rFonts w:ascii="Times New Roman" w:hAnsi="Times New Roman"/>
          <w:sz w:val="32"/>
          <w:szCs w:val="24"/>
        </w:rPr>
      </w:pPr>
      <w:bookmarkStart w:id="24" w:name="OLE_LINK20"/>
      <w:bookmarkStart w:id="25" w:name="OLE_LINK29"/>
      <w:r>
        <w:rPr>
          <w:rFonts w:hint="eastAsia" w:ascii="Times New Roman" w:hAnsi="Times New Roman"/>
          <w:sz w:val="32"/>
          <w:szCs w:val="24"/>
        </w:rPr>
        <w:t>重点监管单位在边生产边管控过程中，应充分掌握土壤和地下水的污染状况，综合考虑管控周期、成本、技术可行性，严防“边管控边污染”。若造成突发环境事件，应立即启动应急响应，第一时间向所在地生态环境主管部门报告，同步采取有效应急处置措施防止土壤和地下水污染扩散</w:t>
      </w:r>
      <w:r>
        <w:rPr>
          <w:rFonts w:hint="eastAsia" w:ascii="Times New Roman" w:hAnsi="Times New Roman" w:cs="仿宋_GB2312"/>
          <w:spacing w:val="12"/>
          <w:sz w:val="32"/>
          <w:szCs w:val="32"/>
        </w:rPr>
        <w:t>。</w:t>
      </w:r>
    </w:p>
    <w:bookmarkEnd w:id="24"/>
    <w:p>
      <w:pPr>
        <w:pStyle w:val="42"/>
        <w:spacing w:after="0" w:line="560" w:lineRule="exact"/>
        <w:ind w:left="0" w:firstLine="602"/>
        <w:contextualSpacing w:val="0"/>
        <w:rPr>
          <w:rFonts w:ascii="Times New Roman" w:hAnsi="Times New Roman"/>
          <w:sz w:val="32"/>
          <w:szCs w:val="24"/>
        </w:rPr>
      </w:pPr>
      <w:r>
        <w:rPr>
          <w:rFonts w:ascii="Times New Roman" w:hAnsi="Times New Roman"/>
          <w:sz w:val="32"/>
          <w:szCs w:val="24"/>
        </w:rPr>
        <w:t>重点监管单位</w:t>
      </w:r>
      <w:r>
        <w:rPr>
          <w:rFonts w:hint="eastAsia" w:ascii="Times New Roman" w:hAnsi="Times New Roman"/>
          <w:sz w:val="32"/>
          <w:szCs w:val="24"/>
        </w:rPr>
        <w:t>应</w:t>
      </w:r>
      <w:r>
        <w:rPr>
          <w:rFonts w:ascii="Times New Roman" w:hAnsi="Times New Roman"/>
          <w:sz w:val="32"/>
          <w:szCs w:val="24"/>
        </w:rPr>
        <w:t>长期保存边生产边管控</w:t>
      </w:r>
      <w:r>
        <w:rPr>
          <w:rFonts w:hint="eastAsia" w:ascii="Times New Roman" w:hAnsi="Times New Roman"/>
          <w:sz w:val="32"/>
          <w:szCs w:val="24"/>
        </w:rPr>
        <w:t>的</w:t>
      </w:r>
      <w:r>
        <w:rPr>
          <w:rFonts w:ascii="Times New Roman" w:hAnsi="Times New Roman"/>
          <w:sz w:val="32"/>
          <w:szCs w:val="24"/>
        </w:rPr>
        <w:t>工作档案</w:t>
      </w:r>
      <w:r>
        <w:rPr>
          <w:rFonts w:hint="eastAsia" w:ascii="Times New Roman" w:hAnsi="Times New Roman"/>
          <w:sz w:val="32"/>
          <w:szCs w:val="24"/>
        </w:rPr>
        <w:t>，包括但不限于土壤和地下水监测报告、污染溯源排查全过程资料（</w:t>
      </w:r>
      <w:bookmarkStart w:id="26" w:name="OLE_LINK39"/>
      <w:r>
        <w:rPr>
          <w:rFonts w:hint="eastAsia" w:ascii="Times New Roman" w:hAnsi="Times New Roman"/>
          <w:sz w:val="32"/>
          <w:szCs w:val="24"/>
        </w:rPr>
        <w:t>如</w:t>
      </w:r>
      <w:bookmarkEnd w:id="26"/>
      <w:r>
        <w:rPr>
          <w:rFonts w:hint="eastAsia" w:ascii="Times New Roman" w:hAnsi="Times New Roman"/>
          <w:sz w:val="32"/>
          <w:szCs w:val="24"/>
        </w:rPr>
        <w:t>重点场所和重点设施设备防渗漏、流失、扬散的设计、建设、验收文件资料，日常检查、岗位巡检记录，渗漏检测、检维修记录等）、切断源头及管控修复全过程资料（如整改台账、工程设计、建设、监测等）、效果评估等。</w:t>
      </w:r>
    </w:p>
    <w:p>
      <w:pPr>
        <w:pStyle w:val="42"/>
        <w:spacing w:after="0" w:line="360" w:lineRule="auto"/>
        <w:ind w:left="0" w:firstLine="688"/>
        <w:contextualSpacing w:val="0"/>
        <w:rPr>
          <w:rFonts w:ascii="Times New Roman" w:hAnsi="Times New Roman" w:cs="仿宋_GB2312"/>
          <w:spacing w:val="12"/>
          <w:sz w:val="32"/>
          <w:szCs w:val="32"/>
        </w:rPr>
      </w:pPr>
    </w:p>
    <w:bookmarkEnd w:id="17"/>
    <w:bookmarkEnd w:id="25"/>
    <w:p>
      <w:pPr>
        <w:spacing w:line="240" w:lineRule="auto"/>
        <w:ind w:firstLine="0" w:firstLineChars="0"/>
        <w:jc w:val="center"/>
        <w:rPr>
          <w:rFonts w:ascii="Times New Roman" w:hAnsi="Times New Roman"/>
        </w:rPr>
      </w:pPr>
      <w:r>
        <w:rPr>
          <w:rFonts w:hint="eastAsia" w:ascii="Times New Roman" w:hAnsi="Times New Roman"/>
        </w:rPr>
        <w:object>
          <v:shape id="_x0000_i1025" o:spt="75" type="#_x0000_t75" style="height:444.25pt;width:370.65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pPr>
        <w:spacing w:after="0"/>
        <w:ind w:firstLine="0" w:firstLineChars="0"/>
        <w:jc w:val="center"/>
        <w:rPr>
          <w:rFonts w:ascii="Times New Roman" w:hAnsi="Times New Roman" w:eastAsia="黑体"/>
          <w:sz w:val="28"/>
          <w:szCs w:val="21"/>
        </w:rPr>
      </w:pPr>
      <w:r>
        <w:rPr>
          <w:rFonts w:hint="eastAsia" w:ascii="Times New Roman" w:hAnsi="Times New Roman" w:eastAsia="黑体"/>
          <w:sz w:val="28"/>
          <w:szCs w:val="21"/>
        </w:rPr>
        <w:t>图</w:t>
      </w:r>
      <w:r>
        <w:rPr>
          <w:rFonts w:ascii="Times New Roman" w:hAnsi="Times New Roman" w:eastAsia="黑体"/>
          <w:sz w:val="28"/>
          <w:szCs w:val="21"/>
        </w:rPr>
        <w:t xml:space="preserve">1  </w:t>
      </w:r>
      <w:r>
        <w:rPr>
          <w:rFonts w:hint="eastAsia" w:ascii="Times New Roman" w:hAnsi="Times New Roman" w:eastAsia="黑体"/>
          <w:sz w:val="28"/>
          <w:szCs w:val="21"/>
        </w:rPr>
        <w:t>重点监管单位边生产边管控工作流程</w:t>
      </w:r>
    </w:p>
    <w:p>
      <w:pPr>
        <w:spacing w:after="0" w:line="276" w:lineRule="auto"/>
        <w:ind w:firstLine="0" w:firstLineChars="0"/>
        <w:jc w:val="center"/>
        <w:rPr>
          <w:rFonts w:ascii="Times New Roman" w:hAnsi="Times New Roman" w:eastAsia="黑体"/>
        </w:rPr>
      </w:pPr>
    </w:p>
    <w:p>
      <w:pPr>
        <w:pStyle w:val="4"/>
        <w:spacing w:after="0" w:line="570" w:lineRule="exact"/>
        <w:ind w:firstLine="640"/>
        <w:rPr>
          <w:color w:val="auto"/>
          <w:sz w:val="32"/>
          <w:szCs w:val="32"/>
        </w:rPr>
      </w:pPr>
      <w:bookmarkStart w:id="27" w:name="_Toc214374504"/>
      <w:bookmarkStart w:id="28" w:name="OLE_LINK12"/>
      <w:r>
        <w:rPr>
          <w:rFonts w:hint="eastAsia"/>
          <w:color w:val="auto"/>
          <w:sz w:val="32"/>
          <w:szCs w:val="32"/>
        </w:rPr>
        <w:t>三、</w:t>
      </w:r>
      <w:r>
        <w:rPr>
          <w:rFonts w:hint="eastAsia" w:cs="仿宋_GB2312"/>
          <w:color w:val="auto"/>
          <w:spacing w:val="3"/>
          <w:sz w:val="32"/>
          <w:szCs w:val="32"/>
        </w:rPr>
        <w:t>土壤和地下水污染风险判定</w:t>
      </w:r>
      <w:bookmarkEnd w:id="27"/>
    </w:p>
    <w:bookmarkEnd w:id="28"/>
    <w:p>
      <w:pPr>
        <w:spacing w:after="0"/>
        <w:ind w:firstLine="640"/>
        <w:rPr>
          <w:rFonts w:hint="eastAsia" w:ascii="仿宋_GB2312" w:hAnsi="仿宋_GB2312" w:eastAsia="仿宋_GB2312" w:cs="仿宋_GB2312"/>
          <w:sz w:val="32"/>
          <w:szCs w:val="32"/>
        </w:rPr>
      </w:pPr>
      <w:bookmarkStart w:id="29" w:name="OLE_LINK22"/>
      <w:r>
        <w:rPr>
          <w:rFonts w:hint="eastAsia" w:ascii="仿宋_GB2312" w:hAnsi="仿宋_GB2312" w:eastAsia="仿宋_GB2312" w:cs="仿宋_GB2312"/>
          <w:sz w:val="32"/>
          <w:szCs w:val="32"/>
        </w:rPr>
        <w:t>重点监管单位按照《重点监管单位土壤污染隐患排查指南（试行）》（生态环境部 公告2021年第1号）和《工业企业土壤和地下水自行监测技术指南（试行）》（HJ 1209）的要求开展隐患排查和自行监测，发现以下情形之一的，可判定</w:t>
      </w:r>
      <w:r>
        <w:rPr>
          <w:rFonts w:hint="eastAsia" w:ascii="仿宋_GB2312" w:hAnsi="仿宋_GB2312" w:eastAsia="仿宋_GB2312" w:cs="仿宋_GB2312"/>
          <w:spacing w:val="3"/>
          <w:sz w:val="32"/>
          <w:szCs w:val="32"/>
        </w:rPr>
        <w:t>存在土壤和地下水污染风险</w:t>
      </w:r>
      <w:r>
        <w:rPr>
          <w:rFonts w:hint="eastAsia" w:ascii="仿宋_GB2312" w:hAnsi="仿宋_GB2312" w:eastAsia="仿宋_GB2312" w:cs="仿宋_GB2312"/>
          <w:sz w:val="32"/>
          <w:szCs w:val="32"/>
        </w:rPr>
        <w:t>：</w:t>
      </w:r>
    </w:p>
    <w:p>
      <w:pPr>
        <w:spacing w:after="0"/>
        <w:ind w:firstLine="688"/>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12"/>
          <w:sz w:val="32"/>
          <w:szCs w:val="32"/>
        </w:rPr>
        <w:t>（一）</w:t>
      </w:r>
      <w:bookmarkStart w:id="30" w:name="_Hlk205916288"/>
      <w:r>
        <w:rPr>
          <w:rFonts w:hint="eastAsia" w:ascii="仿宋_GB2312" w:hAnsi="仿宋_GB2312" w:eastAsia="仿宋_GB2312" w:cs="仿宋_GB2312"/>
          <w:color w:val="auto"/>
          <w:spacing w:val="12"/>
          <w:sz w:val="32"/>
          <w:szCs w:val="32"/>
        </w:rPr>
        <w:t>自行监测发现</w:t>
      </w:r>
      <w:bookmarkStart w:id="31" w:name="OLE_LINK27"/>
      <w:r>
        <w:rPr>
          <w:rFonts w:hint="eastAsia" w:ascii="仿宋_GB2312" w:hAnsi="仿宋_GB2312" w:eastAsia="仿宋_GB2312" w:cs="仿宋_GB2312"/>
          <w:color w:val="auto"/>
          <w:spacing w:val="12"/>
          <w:sz w:val="32"/>
          <w:szCs w:val="32"/>
        </w:rPr>
        <w:t>重点场所或重点设施设备</w:t>
      </w:r>
      <w:bookmarkEnd w:id="31"/>
      <w:r>
        <w:rPr>
          <w:rFonts w:hint="eastAsia" w:ascii="仿宋_GB2312" w:hAnsi="仿宋_GB2312" w:eastAsia="仿宋_GB2312" w:cs="仿宋_GB2312"/>
          <w:color w:val="auto"/>
          <w:spacing w:val="12"/>
          <w:sz w:val="32"/>
          <w:szCs w:val="32"/>
        </w:rPr>
        <w:t>的污染物运移路径下游，土壤或地下水特征污染物</w:t>
      </w:r>
      <w:bookmarkEnd w:id="30"/>
      <w:r>
        <w:rPr>
          <w:rFonts w:hint="eastAsia" w:ascii="仿宋_GB2312" w:hAnsi="仿宋_GB2312" w:eastAsia="仿宋_GB2312" w:cs="仿宋_GB2312"/>
          <w:color w:val="auto"/>
          <w:spacing w:val="12"/>
          <w:sz w:val="32"/>
          <w:szCs w:val="32"/>
        </w:rPr>
        <w:t>超标，或地下水特征污染物监测结果高于该点位前次监测值50%以上，或地下水特征污染物监测连续4次呈上升趋势</w:t>
      </w:r>
      <w:r>
        <w:rPr>
          <w:rStyle w:val="28"/>
          <w:rFonts w:hint="eastAsia" w:ascii="仿宋_GB2312" w:hAnsi="仿宋_GB2312" w:eastAsia="仿宋_GB2312" w:cs="仿宋_GB2312"/>
          <w:color w:val="auto"/>
          <w:spacing w:val="12"/>
          <w:sz w:val="32"/>
          <w:szCs w:val="32"/>
        </w:rPr>
        <w:footnoteReference w:id="0"/>
      </w:r>
      <w:r>
        <w:rPr>
          <w:rFonts w:hint="eastAsia" w:ascii="仿宋_GB2312" w:hAnsi="仿宋_GB2312" w:eastAsia="仿宋_GB2312" w:cs="仿宋_GB2312"/>
          <w:color w:val="auto"/>
          <w:spacing w:val="5"/>
          <w:sz w:val="32"/>
          <w:szCs w:val="32"/>
        </w:rPr>
        <w:t>；</w:t>
      </w:r>
    </w:p>
    <w:p>
      <w:pPr>
        <w:spacing w:after="0"/>
        <w:ind w:firstLine="660"/>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（二）采用快速检测仪（如X射线荧光光谱仪XRF、手持式光离子检测器PID），对</w:t>
      </w:r>
      <w:r>
        <w:rPr>
          <w:rFonts w:hint="eastAsia" w:ascii="仿宋_GB2312" w:hAnsi="仿宋_GB2312" w:eastAsia="仿宋_GB2312" w:cs="仿宋_GB2312"/>
          <w:color w:val="auto"/>
          <w:spacing w:val="12"/>
          <w:sz w:val="32"/>
          <w:szCs w:val="32"/>
        </w:rPr>
        <w:t>重点场所和重点设施设备</w:t>
      </w:r>
      <w:r>
        <w:rPr>
          <w:rFonts w:hint="eastAsia" w:ascii="仿宋_GB2312" w:hAnsi="仿宋_GB2312" w:eastAsia="仿宋_GB2312" w:cs="仿宋_GB2312"/>
          <w:color w:val="auto"/>
          <w:spacing w:val="5"/>
          <w:sz w:val="32"/>
          <w:szCs w:val="32"/>
        </w:rPr>
        <w:t>周边表层土壤重金属和挥发性有机物含量进行快速筛查，筛查结果存在异常情况；</w:t>
      </w:r>
    </w:p>
    <w:p>
      <w:pPr>
        <w:spacing w:after="0"/>
        <w:ind w:firstLine="660"/>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5"/>
          <w:sz w:val="32"/>
          <w:szCs w:val="32"/>
        </w:rPr>
        <w:t>（三）</w:t>
      </w:r>
      <w:r>
        <w:rPr>
          <w:rFonts w:hint="eastAsia" w:ascii="仿宋_GB2312" w:hAnsi="仿宋_GB2312" w:eastAsia="仿宋_GB2312" w:cs="仿宋_GB2312"/>
          <w:color w:val="auto"/>
          <w:sz w:val="32"/>
          <w:szCs w:val="32"/>
        </w:rPr>
        <w:t>重点监管单</w:t>
      </w:r>
      <w:r>
        <w:rPr>
          <w:rFonts w:hint="eastAsia" w:ascii="仿宋_GB2312" w:hAnsi="仿宋_GB2312" w:eastAsia="仿宋_GB2312" w:cs="仿宋_GB2312"/>
          <w:color w:val="auto"/>
          <w:spacing w:val="5"/>
          <w:sz w:val="32"/>
          <w:szCs w:val="32"/>
        </w:rPr>
        <w:t>对挥发性特征</w:t>
      </w:r>
      <w:r>
        <w:rPr>
          <w:rFonts w:hint="eastAsia" w:ascii="仿宋_GB2312" w:hAnsi="仿宋_GB2312" w:eastAsia="仿宋_GB2312" w:cs="仿宋_GB2312"/>
          <w:spacing w:val="5"/>
          <w:sz w:val="32"/>
          <w:szCs w:val="32"/>
        </w:rPr>
        <w:t>污染物开展土壤气监测</w:t>
      </w:r>
      <w:r>
        <w:rPr>
          <w:rStyle w:val="28"/>
          <w:rFonts w:hint="eastAsia" w:ascii="仿宋_GB2312" w:hAnsi="仿宋_GB2312" w:eastAsia="仿宋_GB2312" w:cs="仿宋_GB2312"/>
          <w:spacing w:val="5"/>
          <w:sz w:val="32"/>
          <w:szCs w:val="32"/>
        </w:rPr>
        <w:footnoteReference w:id="1"/>
      </w:r>
      <w:r>
        <w:rPr>
          <w:rFonts w:hint="eastAsia" w:ascii="仿宋_GB2312" w:hAnsi="仿宋_GB2312" w:eastAsia="仿宋_GB2312" w:cs="仿宋_GB2312"/>
          <w:spacing w:val="5"/>
          <w:sz w:val="32"/>
          <w:szCs w:val="32"/>
        </w:rPr>
        <w:t>，发现土壤气数据异常；</w:t>
      </w:r>
    </w:p>
    <w:p>
      <w:pPr>
        <w:spacing w:after="0"/>
        <w:ind w:firstLine="688"/>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（四）因重点监管单位突发环境事件可能造成土壤或</w:t>
      </w:r>
      <w:r>
        <w:rPr>
          <w:rFonts w:hint="eastAsia" w:ascii="仿宋_GB2312" w:hAnsi="仿宋_GB2312" w:eastAsia="仿宋_GB2312" w:cs="仿宋_GB2312"/>
          <w:spacing w:val="4"/>
          <w:sz w:val="32"/>
          <w:szCs w:val="32"/>
        </w:rPr>
        <w:t>地下水污染；</w:t>
      </w:r>
    </w:p>
    <w:p>
      <w:pPr>
        <w:spacing w:after="0"/>
        <w:ind w:firstLine="688"/>
        <w:rPr>
          <w:rFonts w:ascii="Times New Roman" w:hAnsi="Times New Roman" w:cs="仿宋_GB2312"/>
          <w:sz w:val="32"/>
          <w:szCs w:val="32"/>
        </w:rPr>
      </w:pPr>
      <w:r>
        <w:rPr>
          <w:rFonts w:hint="eastAsia" w:ascii="Times New Roman" w:hAnsi="Times New Roman" w:cs="仿宋_GB2312"/>
          <w:spacing w:val="12"/>
          <w:sz w:val="32"/>
          <w:szCs w:val="32"/>
        </w:rPr>
        <w:t>（五）</w:t>
      </w:r>
      <w:bookmarkStart w:id="32" w:name="OLE_LINK28"/>
      <w:r>
        <w:rPr>
          <w:rFonts w:hint="eastAsia" w:ascii="Times New Roman" w:hAnsi="Times New Roman" w:cs="仿宋_GB2312"/>
          <w:spacing w:val="12"/>
          <w:sz w:val="32"/>
          <w:szCs w:val="32"/>
        </w:rPr>
        <w:t>重点监管单位</w:t>
      </w:r>
      <w:bookmarkEnd w:id="32"/>
      <w:r>
        <w:rPr>
          <w:rFonts w:hint="eastAsia" w:ascii="Times New Roman" w:hAnsi="Times New Roman" w:cs="仿宋_GB2312"/>
          <w:spacing w:val="12"/>
          <w:sz w:val="32"/>
          <w:szCs w:val="32"/>
        </w:rPr>
        <w:t>周边土壤环境质量监测发现土壤或地下</w:t>
      </w:r>
      <w:r>
        <w:rPr>
          <w:rFonts w:hint="eastAsia" w:ascii="Times New Roman" w:hAnsi="Times New Roman" w:cs="仿宋_GB2312"/>
          <w:spacing w:val="-1"/>
          <w:sz w:val="32"/>
          <w:szCs w:val="32"/>
        </w:rPr>
        <w:t>水超标，且结合重点监管单位污水排放去向、</w:t>
      </w:r>
      <w:r>
        <w:rPr>
          <w:rFonts w:hint="eastAsia" w:ascii="Times New Roman" w:hAnsi="Times New Roman" w:cs="仿宋_GB2312"/>
          <w:spacing w:val="6"/>
          <w:sz w:val="32"/>
          <w:szCs w:val="32"/>
        </w:rPr>
        <w:t>地下水流向、特征污染物等，初步判断与重点监管</w:t>
      </w:r>
      <w:r>
        <w:rPr>
          <w:rFonts w:hint="eastAsia" w:ascii="Times New Roman" w:hAnsi="Times New Roman" w:cs="仿宋_GB2312"/>
          <w:spacing w:val="3"/>
          <w:sz w:val="32"/>
          <w:szCs w:val="32"/>
        </w:rPr>
        <w:t>单位有关的；</w:t>
      </w:r>
    </w:p>
    <w:p>
      <w:pPr>
        <w:spacing w:after="0"/>
        <w:ind w:firstLine="664"/>
        <w:rPr>
          <w:rFonts w:ascii="Times New Roman" w:hAnsi="Times New Roman" w:cs="仿宋_GB2312"/>
          <w:spacing w:val="6"/>
          <w:sz w:val="32"/>
          <w:szCs w:val="32"/>
        </w:rPr>
      </w:pPr>
      <w:r>
        <w:rPr>
          <w:rFonts w:hint="eastAsia" w:ascii="Times New Roman" w:hAnsi="Times New Roman" w:cs="仿宋_GB2312"/>
          <w:spacing w:val="6"/>
          <w:sz w:val="32"/>
          <w:szCs w:val="32"/>
        </w:rPr>
        <w:t>（六）</w:t>
      </w:r>
      <w:bookmarkStart w:id="33" w:name="OLE_LINK13"/>
      <w:r>
        <w:rPr>
          <w:rFonts w:hint="eastAsia" w:ascii="Times New Roman" w:hAnsi="Times New Roman" w:cs="仿宋_GB2312"/>
          <w:sz w:val="32"/>
          <w:szCs w:val="32"/>
        </w:rPr>
        <w:t>生态环境主管部门</w:t>
      </w:r>
      <w:bookmarkStart w:id="34" w:name="_Hlk207834673"/>
      <w:r>
        <w:rPr>
          <w:rFonts w:hint="eastAsia" w:ascii="Times New Roman" w:hAnsi="Times New Roman" w:cs="仿宋_GB2312"/>
          <w:sz w:val="32"/>
          <w:szCs w:val="32"/>
        </w:rPr>
        <w:t>执法检查</w:t>
      </w:r>
      <w:bookmarkEnd w:id="34"/>
      <w:r>
        <w:rPr>
          <w:rFonts w:hint="eastAsia" w:ascii="Times New Roman" w:hAnsi="Times New Roman" w:cs="仿宋_GB2312"/>
          <w:sz w:val="32"/>
          <w:szCs w:val="32"/>
        </w:rPr>
        <w:t>发现</w:t>
      </w:r>
      <w:r>
        <w:rPr>
          <w:rFonts w:hint="eastAsia" w:ascii="Times New Roman" w:hAnsi="Times New Roman" w:cs="仿宋_GB2312"/>
          <w:spacing w:val="6"/>
          <w:sz w:val="32"/>
          <w:szCs w:val="32"/>
        </w:rPr>
        <w:t>存在偷排漏排、危险废物处置不当、固体废物混入土壤、设备设</w:t>
      </w:r>
      <w:r>
        <w:rPr>
          <w:rFonts w:hint="eastAsia" w:ascii="Times New Roman" w:hAnsi="Times New Roman" w:cs="仿宋_GB2312"/>
          <w:spacing w:val="-5"/>
          <w:sz w:val="32"/>
          <w:szCs w:val="32"/>
        </w:rPr>
        <w:t>施“跑冒滴漏”、储存场所防腐层破裂等情形，造成土壤或地下水</w:t>
      </w:r>
      <w:r>
        <w:rPr>
          <w:rFonts w:hint="eastAsia" w:ascii="Times New Roman" w:hAnsi="Times New Roman" w:cs="仿宋_GB2312"/>
          <w:spacing w:val="5"/>
          <w:sz w:val="32"/>
          <w:szCs w:val="32"/>
        </w:rPr>
        <w:t>存在异色、异味、油迹等污染迹象的</w:t>
      </w:r>
      <w:bookmarkEnd w:id="33"/>
      <w:r>
        <w:rPr>
          <w:rFonts w:hint="eastAsia" w:ascii="Times New Roman" w:hAnsi="Times New Roman" w:cs="仿宋_GB2312"/>
          <w:spacing w:val="5"/>
          <w:sz w:val="32"/>
          <w:szCs w:val="32"/>
        </w:rPr>
        <w:t>。</w:t>
      </w:r>
    </w:p>
    <w:bookmarkEnd w:id="29"/>
    <w:p>
      <w:pPr>
        <w:pStyle w:val="42"/>
        <w:spacing w:after="0"/>
        <w:ind w:left="0" w:firstLine="706" w:firstLineChars="228"/>
        <w:contextualSpacing w:val="0"/>
        <w:rPr>
          <w:rFonts w:ascii="Times New Roman" w:hAnsi="Times New Roman" w:cs="仿宋_GB2312"/>
          <w:spacing w:val="-5"/>
          <w:sz w:val="32"/>
          <w:szCs w:val="32"/>
        </w:rPr>
      </w:pPr>
      <w:r>
        <w:rPr>
          <w:rFonts w:hint="eastAsia" w:ascii="Times New Roman" w:hAnsi="Times New Roman" w:cs="仿宋_GB2312"/>
          <w:spacing w:val="-5"/>
          <w:sz w:val="32"/>
          <w:szCs w:val="32"/>
        </w:rPr>
        <w:t>对于判断存在土壤和地下水污染风险的</w:t>
      </w:r>
      <w:r>
        <w:rPr>
          <w:rFonts w:hint="eastAsia" w:ascii="Times New Roman" w:hAnsi="Times New Roman" w:cs="仿宋_GB2312"/>
          <w:spacing w:val="12"/>
          <w:sz w:val="32"/>
          <w:szCs w:val="32"/>
        </w:rPr>
        <w:t>重点监管单位</w:t>
      </w:r>
      <w:r>
        <w:rPr>
          <w:rFonts w:hint="eastAsia" w:ascii="Times New Roman" w:hAnsi="Times New Roman" w:cs="仿宋_GB2312"/>
          <w:spacing w:val="-5"/>
          <w:sz w:val="32"/>
          <w:szCs w:val="32"/>
        </w:rPr>
        <w:t>，后续需要进一步开展</w:t>
      </w:r>
      <w:bookmarkStart w:id="35" w:name="OLE_LINK8"/>
      <w:r>
        <w:rPr>
          <w:rFonts w:hint="eastAsia" w:ascii="Times New Roman" w:hAnsi="Times New Roman" w:cs="仿宋_GB2312"/>
          <w:spacing w:val="-5"/>
          <w:sz w:val="32"/>
          <w:szCs w:val="32"/>
        </w:rPr>
        <w:t>监测</w:t>
      </w:r>
      <w:bookmarkEnd w:id="35"/>
      <w:r>
        <w:rPr>
          <w:rFonts w:hint="eastAsia" w:ascii="Times New Roman" w:hAnsi="Times New Roman" w:cs="仿宋_GB2312"/>
          <w:spacing w:val="-5"/>
          <w:sz w:val="32"/>
          <w:szCs w:val="32"/>
        </w:rPr>
        <w:t>预警，根据监测预警结果判断是否需要进一步开展污染溯源、切断源头、管控或修复。</w:t>
      </w:r>
    </w:p>
    <w:p>
      <w:pPr>
        <w:pStyle w:val="4"/>
        <w:spacing w:after="0" w:line="570" w:lineRule="exact"/>
        <w:ind w:firstLine="640"/>
        <w:rPr>
          <w:color w:val="auto"/>
          <w:sz w:val="32"/>
          <w:szCs w:val="52"/>
        </w:rPr>
      </w:pPr>
      <w:bookmarkStart w:id="36" w:name="_Toc214374505"/>
      <w:bookmarkStart w:id="37" w:name="OLE_LINK14"/>
      <w:r>
        <w:rPr>
          <w:rFonts w:hint="eastAsia"/>
          <w:color w:val="auto"/>
          <w:sz w:val="32"/>
          <w:szCs w:val="52"/>
        </w:rPr>
        <w:t>四、</w:t>
      </w:r>
      <w:bookmarkStart w:id="38" w:name="_Hlk207834734"/>
      <w:r>
        <w:rPr>
          <w:rFonts w:hint="eastAsia"/>
          <w:color w:val="auto"/>
          <w:sz w:val="32"/>
          <w:szCs w:val="52"/>
        </w:rPr>
        <w:t>监测预警</w:t>
      </w:r>
      <w:bookmarkEnd w:id="36"/>
      <w:bookmarkEnd w:id="38"/>
    </w:p>
    <w:bookmarkEnd w:id="37"/>
    <w:p>
      <w:pPr>
        <w:pStyle w:val="5"/>
        <w:spacing w:before="0" w:after="0"/>
        <w:ind w:firstLine="640"/>
        <w:rPr>
          <w:color w:val="auto"/>
        </w:rPr>
      </w:pPr>
      <w:bookmarkStart w:id="39" w:name="_Toc214374506"/>
      <w:r>
        <w:rPr>
          <w:rFonts w:hint="eastAsia"/>
          <w:color w:val="auto"/>
        </w:rPr>
        <w:t>（一）基础措施</w:t>
      </w:r>
      <w:bookmarkEnd w:id="39"/>
    </w:p>
    <w:p>
      <w:pPr>
        <w:tabs>
          <w:tab w:val="left" w:pos="2835"/>
        </w:tabs>
        <w:spacing w:after="0"/>
        <w:ind w:firstLine="620"/>
        <w:rPr>
          <w:rFonts w:hint="eastAsia" w:ascii="仿宋_GB2312" w:hAnsi="仿宋_GB2312" w:cs="仿宋_GB2312"/>
          <w:spacing w:val="-5"/>
          <w:sz w:val="32"/>
          <w:szCs w:val="32"/>
        </w:rPr>
      </w:pPr>
      <w:r>
        <w:rPr>
          <w:rFonts w:hint="eastAsia" w:ascii="仿宋_GB2312" w:hAnsi="仿宋_GB2312" w:cs="仿宋_GB2312"/>
          <w:spacing w:val="-5"/>
          <w:sz w:val="32"/>
          <w:szCs w:val="32"/>
        </w:rPr>
        <w:t>根据《工业企业土壤和地下水自行监测技术指南（试行）》（HJ 1209）的技术要求，在已有自行监测点位的基础上，在重点设施设备区域、</w:t>
      </w:r>
      <w:bookmarkStart w:id="40" w:name="OLE_LINK33"/>
      <w:r>
        <w:rPr>
          <w:rFonts w:hint="eastAsia" w:ascii="仿宋_GB2312" w:hAnsi="仿宋_GB2312" w:cs="仿宋_GB2312"/>
          <w:spacing w:val="-5"/>
          <w:sz w:val="32"/>
          <w:szCs w:val="32"/>
        </w:rPr>
        <w:t>厂界</w:t>
      </w:r>
      <w:bookmarkEnd w:id="40"/>
      <w:r>
        <w:rPr>
          <w:rFonts w:hint="eastAsia" w:ascii="仿宋_GB2312" w:hAnsi="仿宋_GB2312" w:cs="仿宋_GB2312"/>
          <w:spacing w:val="-5"/>
          <w:sz w:val="32"/>
          <w:szCs w:val="32"/>
        </w:rPr>
        <w:t>、可能迁移扩散至厂界外的区域同步增加土壤和地下水监测点位。新建地下水监测井的深度根据所处含水层类型及其埋深和厚度来确定，尽可能超过已知最大地下水埋深以下2米。</w:t>
      </w:r>
    </w:p>
    <w:p>
      <w:pPr>
        <w:pStyle w:val="42"/>
        <w:tabs>
          <w:tab w:val="left" w:pos="2835"/>
        </w:tabs>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建议</w:t>
      </w:r>
      <w:r>
        <w:rPr>
          <w:rFonts w:hint="eastAsia" w:ascii="仿宋_GB2312" w:hAnsi="仿宋_GB2312" w:cs="仿宋_GB2312"/>
          <w:spacing w:val="12"/>
          <w:sz w:val="32"/>
          <w:szCs w:val="32"/>
        </w:rPr>
        <w:t>重点监管单位</w:t>
      </w:r>
      <w:r>
        <w:rPr>
          <w:rFonts w:hint="eastAsia" w:ascii="仿宋_GB2312" w:hAnsi="仿宋_GB2312" w:cs="仿宋_GB2312"/>
          <w:spacing w:val="-5"/>
          <w:sz w:val="32"/>
          <w:szCs w:val="32"/>
        </w:rPr>
        <w:t>委托专业机构指导土壤和地下水监测点位布设，点位数量和监测频次可参考表1的要求。</w:t>
      </w:r>
    </w:p>
    <w:p>
      <w:pPr>
        <w:spacing w:after="0"/>
        <w:ind w:firstLineChars="0"/>
        <w:jc w:val="center"/>
        <w:rPr>
          <w:rFonts w:hint="eastAsia" w:ascii="黑体" w:hAnsi="黑体" w:eastAsia="黑体" w:cs="黑体"/>
          <w:sz w:val="28"/>
          <w:szCs w:val="21"/>
        </w:rPr>
      </w:pPr>
      <w:r>
        <w:rPr>
          <w:rFonts w:hint="eastAsia" w:ascii="黑体" w:hAnsi="黑体" w:eastAsia="黑体" w:cs="黑体"/>
          <w:sz w:val="28"/>
          <w:szCs w:val="21"/>
        </w:rPr>
        <w:t>表1  土壤和地下水点位数量及监测频次要求</w:t>
      </w: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131"/>
        <w:gridCol w:w="283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686" w:type="dxa"/>
            <w:gridSpan w:val="2"/>
            <w:vMerge w:val="restart"/>
            <w:vAlign w:val="center"/>
          </w:tcPr>
          <w:p>
            <w:pPr>
              <w:pStyle w:val="42"/>
              <w:spacing w:after="0"/>
              <w:ind w:left="0" w:firstLine="0" w:firstLineChars="0"/>
              <w:contextualSpacing w:val="0"/>
              <w:jc w:val="center"/>
              <w:rPr>
                <w:rFonts w:hint="eastAsia" w:ascii="黑体" w:hAnsi="黑体" w:eastAsia="黑体" w:cs="黑体"/>
                <w:b w:val="0"/>
                <w:bCs w:val="0"/>
                <w:spacing w:val="-5"/>
                <w:sz w:val="28"/>
                <w:szCs w:val="28"/>
              </w:rPr>
            </w:pPr>
            <w:bookmarkStart w:id="41" w:name="OLE_LINK15"/>
            <w:r>
              <w:rPr>
                <w:rFonts w:hint="eastAsia" w:ascii="黑体" w:hAnsi="黑体" w:eastAsia="黑体" w:cs="黑体"/>
                <w:b w:val="0"/>
                <w:bCs w:val="0"/>
                <w:spacing w:val="-5"/>
                <w:sz w:val="28"/>
                <w:szCs w:val="28"/>
              </w:rPr>
              <w:t>土壤和地下水点位数量及监测频次要求</w:t>
            </w:r>
          </w:p>
        </w:tc>
        <w:tc>
          <w:tcPr>
            <w:tcW w:w="5528" w:type="dxa"/>
            <w:gridSpan w:val="2"/>
            <w:vAlign w:val="center"/>
          </w:tcPr>
          <w:p>
            <w:pPr>
              <w:pStyle w:val="42"/>
              <w:spacing w:after="0"/>
              <w:ind w:left="0" w:firstLine="0" w:firstLineChars="0"/>
              <w:contextualSpacing w:val="0"/>
              <w:jc w:val="center"/>
              <w:rPr>
                <w:rFonts w:hint="eastAsia" w:ascii="黑体" w:hAnsi="黑体" w:eastAsia="黑体" w:cs="黑体"/>
                <w:b w:val="0"/>
                <w:bCs w:val="0"/>
                <w:spacing w:val="-5"/>
                <w:sz w:val="28"/>
                <w:szCs w:val="28"/>
              </w:rPr>
            </w:pPr>
            <w:r>
              <w:rPr>
                <w:rFonts w:hint="eastAsia" w:ascii="黑体" w:hAnsi="黑体" w:eastAsia="黑体" w:cs="黑体"/>
                <w:b w:val="0"/>
                <w:bCs w:val="0"/>
                <w:spacing w:val="-5"/>
                <w:sz w:val="28"/>
                <w:szCs w:val="28"/>
              </w:rPr>
              <w:t>重点监测单元</w:t>
            </w:r>
            <w:r>
              <w:rPr>
                <w:rFonts w:hint="eastAsia" w:ascii="黑体" w:hAnsi="黑体" w:eastAsia="黑体" w:cs="黑体"/>
                <w:b w:val="0"/>
                <w:bCs w:val="0"/>
                <w:spacing w:val="-5"/>
                <w:sz w:val="28"/>
                <w:szCs w:val="28"/>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686" w:type="dxa"/>
            <w:gridSpan w:val="2"/>
            <w:vMerge w:val="continue"/>
            <w:vAlign w:val="center"/>
          </w:tcPr>
          <w:p>
            <w:pPr>
              <w:pStyle w:val="42"/>
              <w:spacing w:after="0"/>
              <w:ind w:left="0" w:firstLine="0" w:firstLineChars="0"/>
              <w:contextualSpacing w:val="0"/>
              <w:jc w:val="center"/>
              <w:rPr>
                <w:rFonts w:hint="eastAsia" w:ascii="黑体" w:hAnsi="黑体" w:eastAsia="黑体" w:cs="黑体"/>
                <w:b w:val="0"/>
                <w:bCs w:val="0"/>
                <w:spacing w:val="-5"/>
                <w:sz w:val="28"/>
                <w:szCs w:val="28"/>
              </w:rPr>
            </w:pPr>
          </w:p>
        </w:tc>
        <w:tc>
          <w:tcPr>
            <w:tcW w:w="2835" w:type="dxa"/>
            <w:vAlign w:val="center"/>
          </w:tcPr>
          <w:p>
            <w:pPr>
              <w:pStyle w:val="42"/>
              <w:spacing w:after="0"/>
              <w:ind w:left="0" w:firstLine="0" w:firstLineChars="0"/>
              <w:contextualSpacing w:val="0"/>
              <w:jc w:val="center"/>
              <w:rPr>
                <w:rFonts w:hint="eastAsia" w:ascii="黑体" w:hAnsi="黑体" w:eastAsia="黑体" w:cs="黑体"/>
                <w:b w:val="0"/>
                <w:bCs w:val="0"/>
                <w:spacing w:val="-5"/>
                <w:sz w:val="28"/>
                <w:szCs w:val="28"/>
              </w:rPr>
            </w:pPr>
            <w:bookmarkStart w:id="42" w:name="OLE_LINK3"/>
            <w:r>
              <w:rPr>
                <w:rFonts w:hint="eastAsia" w:ascii="黑体" w:hAnsi="黑体" w:eastAsia="黑体" w:cs="黑体"/>
                <w:b w:val="0"/>
                <w:bCs w:val="0"/>
                <w:spacing w:val="-5"/>
                <w:sz w:val="28"/>
                <w:szCs w:val="28"/>
              </w:rPr>
              <w:t>一类单元</w:t>
            </w:r>
            <w:bookmarkEnd w:id="42"/>
          </w:p>
        </w:tc>
        <w:tc>
          <w:tcPr>
            <w:tcW w:w="2693" w:type="dxa"/>
            <w:vAlign w:val="center"/>
          </w:tcPr>
          <w:p>
            <w:pPr>
              <w:pStyle w:val="42"/>
              <w:spacing w:after="0"/>
              <w:ind w:left="0" w:firstLine="0" w:firstLineChars="0"/>
              <w:contextualSpacing w:val="0"/>
              <w:jc w:val="center"/>
              <w:rPr>
                <w:rFonts w:hint="eastAsia" w:ascii="黑体" w:hAnsi="黑体" w:eastAsia="黑体" w:cs="黑体"/>
                <w:b w:val="0"/>
                <w:bCs w:val="0"/>
                <w:spacing w:val="-5"/>
                <w:sz w:val="28"/>
                <w:szCs w:val="28"/>
              </w:rPr>
            </w:pPr>
            <w:r>
              <w:rPr>
                <w:rFonts w:hint="eastAsia" w:ascii="黑体" w:hAnsi="黑体" w:eastAsia="黑体" w:cs="黑体"/>
                <w:b w:val="0"/>
                <w:bCs w:val="0"/>
                <w:spacing w:val="-5"/>
                <w:sz w:val="28"/>
                <w:szCs w:val="28"/>
              </w:rPr>
              <w:t>二类单元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555" w:type="dxa"/>
            <w:vMerge w:val="restart"/>
            <w:vAlign w:val="center"/>
          </w:tcPr>
          <w:p>
            <w:pPr>
              <w:pStyle w:val="42"/>
              <w:spacing w:after="0"/>
              <w:ind w:left="0" w:firstLine="0" w:firstLineChars="0"/>
              <w:contextualSpacing w:val="0"/>
              <w:rPr>
                <w:rFonts w:hint="eastAsia" w:ascii="仿宋_GB2312" w:hAnsi="仿宋_GB2312" w:cs="仿宋_GB2312"/>
                <w:spacing w:val="-5"/>
                <w:sz w:val="28"/>
                <w:szCs w:val="28"/>
              </w:rPr>
            </w:pPr>
            <w:bookmarkStart w:id="43" w:name="OLE_LINK26"/>
            <w:r>
              <w:rPr>
                <w:rFonts w:hint="eastAsia" w:ascii="仿宋_GB2312" w:hAnsi="仿宋_GB2312" w:cs="仿宋_GB2312"/>
                <w:spacing w:val="-5"/>
                <w:sz w:val="28"/>
                <w:szCs w:val="28"/>
              </w:rPr>
              <w:t>HJ 1209</w:t>
            </w:r>
            <w:bookmarkEnd w:id="43"/>
            <w:r>
              <w:rPr>
                <w:rFonts w:hint="eastAsia" w:ascii="仿宋_GB2312" w:hAnsi="仿宋_GB2312" w:cs="仿宋_GB2312"/>
                <w:spacing w:val="-5"/>
                <w:sz w:val="28"/>
                <w:szCs w:val="28"/>
              </w:rPr>
              <w:t>（基本要求）</w:t>
            </w: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土壤点位数量</w:t>
            </w:r>
            <w:r>
              <w:rPr>
                <w:rFonts w:hint="eastAsia" w:ascii="仿宋_GB2312" w:hAnsi="仿宋_GB2312" w:eastAsia="仿宋_GB2312" w:cs="仿宋_GB2312"/>
                <w:spacing w:val="-5"/>
                <w:sz w:val="28"/>
                <w:szCs w:val="28"/>
                <w:vertAlign w:val="superscript"/>
              </w:rPr>
              <w:t>②</w:t>
            </w:r>
          </w:p>
        </w:tc>
        <w:tc>
          <w:tcPr>
            <w:tcW w:w="2835"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至少布设1个深层土壤监测点，单元内部或周边还应至少布设1个表层土壤监测点。</w:t>
            </w:r>
          </w:p>
        </w:tc>
        <w:tc>
          <w:tcPr>
            <w:tcW w:w="2693"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至少布设1个表层土壤监测点。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55" w:type="dxa"/>
            <w:vMerge w:val="continue"/>
            <w:vAlign w:val="center"/>
          </w:tcPr>
          <w:p>
            <w:pPr>
              <w:pStyle w:val="42"/>
              <w:spacing w:after="0"/>
              <w:ind w:left="0" w:firstLine="0" w:firstLineChars="0"/>
              <w:contextualSpacing w:val="0"/>
              <w:rPr>
                <w:rFonts w:hint="eastAsia" w:ascii="仿宋_GB2312" w:hAnsi="仿宋_GB2312" w:cs="仿宋_GB2312"/>
                <w:spacing w:val="-5"/>
                <w:sz w:val="28"/>
                <w:szCs w:val="28"/>
              </w:rPr>
            </w:pP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土壤监测频次</w:t>
            </w:r>
          </w:p>
        </w:tc>
        <w:tc>
          <w:tcPr>
            <w:tcW w:w="5528" w:type="dxa"/>
            <w:gridSpan w:val="2"/>
            <w:vAlign w:val="center"/>
          </w:tcPr>
          <w:p>
            <w:pPr>
              <w:pStyle w:val="42"/>
              <w:spacing w:after="0"/>
              <w:ind w:left="0" w:firstLine="0" w:firstLineChars="0"/>
              <w:contextualSpacing w:val="0"/>
              <w:jc w:val="center"/>
              <w:rPr>
                <w:rFonts w:hint="eastAsia" w:ascii="仿宋_GB2312" w:hAnsi="仿宋_GB2312" w:cs="仿宋_GB2312"/>
                <w:spacing w:val="-5"/>
                <w:sz w:val="28"/>
                <w:szCs w:val="28"/>
              </w:rPr>
            </w:pPr>
            <w:r>
              <w:rPr>
                <w:rFonts w:hint="eastAsia" w:ascii="仿宋_GB2312" w:hAnsi="仿宋_GB2312" w:cs="仿宋_GB2312"/>
                <w:spacing w:val="-5"/>
                <w:sz w:val="28"/>
                <w:szCs w:val="28"/>
              </w:rPr>
              <w:t>深层土壤3年/次，表层土壤1年/次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55" w:type="dxa"/>
            <w:vMerge w:val="continue"/>
            <w:vAlign w:val="center"/>
          </w:tcPr>
          <w:p>
            <w:pPr>
              <w:pStyle w:val="42"/>
              <w:spacing w:after="0"/>
              <w:ind w:left="0" w:firstLine="0" w:firstLineChars="0"/>
              <w:contextualSpacing w:val="0"/>
              <w:rPr>
                <w:rFonts w:hint="eastAsia" w:ascii="仿宋_GB2312" w:hAnsi="仿宋_GB2312" w:cs="仿宋_GB2312"/>
                <w:spacing w:val="-5"/>
                <w:sz w:val="28"/>
                <w:szCs w:val="28"/>
              </w:rPr>
            </w:pP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地下水监测井数量</w:t>
            </w:r>
          </w:p>
        </w:tc>
        <w:tc>
          <w:tcPr>
            <w:tcW w:w="5528" w:type="dxa"/>
            <w:gridSpan w:val="2"/>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每个重点监测单元地下水监测井不应少于1个。每个重点监管单位地下水监测井（含对照点）总数原则上不应少于3个。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55" w:type="dxa"/>
            <w:vMerge w:val="continue"/>
            <w:vAlign w:val="center"/>
          </w:tcPr>
          <w:p>
            <w:pPr>
              <w:pStyle w:val="42"/>
              <w:spacing w:after="0"/>
              <w:ind w:left="0" w:firstLine="0" w:firstLineChars="0"/>
              <w:contextualSpacing w:val="0"/>
              <w:rPr>
                <w:rFonts w:hint="eastAsia" w:ascii="仿宋_GB2312" w:hAnsi="仿宋_GB2312" w:cs="仿宋_GB2312"/>
                <w:spacing w:val="-5"/>
                <w:sz w:val="28"/>
                <w:szCs w:val="28"/>
              </w:rPr>
            </w:pP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地下水监测频次</w:t>
            </w:r>
          </w:p>
        </w:tc>
        <w:tc>
          <w:tcPr>
            <w:tcW w:w="2835"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半年/次（季度/次</w:t>
            </w:r>
            <w:r>
              <w:rPr>
                <w:rFonts w:hint="eastAsia" w:ascii="仿宋_GB2312" w:hAnsi="仿宋_GB2312" w:eastAsia="仿宋_GB2312" w:cs="仿宋_GB2312"/>
                <w:spacing w:val="-5"/>
                <w:sz w:val="28"/>
                <w:szCs w:val="28"/>
                <w:vertAlign w:val="superscript"/>
              </w:rPr>
              <w:t>③</w:t>
            </w:r>
            <w:r>
              <w:rPr>
                <w:rFonts w:hint="eastAsia" w:ascii="仿宋_GB2312" w:hAnsi="仿宋_GB2312" w:cs="仿宋_GB2312"/>
                <w:spacing w:val="-5"/>
                <w:sz w:val="28"/>
                <w:szCs w:val="28"/>
              </w:rPr>
              <w:t>）</w:t>
            </w:r>
          </w:p>
        </w:tc>
        <w:tc>
          <w:tcPr>
            <w:tcW w:w="2693"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1年/次（半年/次</w:t>
            </w:r>
            <w:r>
              <w:rPr>
                <w:rFonts w:hint="eastAsia" w:ascii="仿宋_GB2312" w:hAnsi="仿宋_GB2312" w:eastAsia="仿宋_GB2312" w:cs="仿宋_GB2312"/>
                <w:spacing w:val="-5"/>
                <w:sz w:val="28"/>
                <w:szCs w:val="28"/>
                <w:vertAlign w:val="superscript"/>
              </w:rPr>
              <w:t>③</w:t>
            </w:r>
            <w:r>
              <w:rPr>
                <w:rFonts w:hint="eastAsia" w:ascii="仿宋_GB2312" w:hAnsi="仿宋_GB2312" w:cs="仿宋_GB2312"/>
                <w:spacing w:val="-5"/>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Merge w:val="restart"/>
            <w:vAlign w:val="center"/>
          </w:tcPr>
          <w:p>
            <w:pPr>
              <w:pStyle w:val="42"/>
              <w:spacing w:after="0"/>
              <w:ind w:left="0" w:firstLine="0" w:firstLineChars="0"/>
              <w:contextualSpacing w:val="0"/>
              <w:jc w:val="center"/>
              <w:rPr>
                <w:rFonts w:hint="eastAsia" w:ascii="仿宋_GB2312" w:hAnsi="仿宋_GB2312" w:cs="仿宋_GB2312"/>
                <w:sz w:val="28"/>
                <w:szCs w:val="28"/>
              </w:rPr>
            </w:pPr>
            <w:r>
              <w:rPr>
                <w:rFonts w:hint="eastAsia" w:ascii="仿宋_GB2312" w:hAnsi="仿宋_GB2312" w:cs="仿宋_GB2312"/>
                <w:sz w:val="28"/>
                <w:szCs w:val="28"/>
              </w:rPr>
              <w:t>监测预警基础措施</w:t>
            </w:r>
          </w:p>
          <w:p>
            <w:pPr>
              <w:pStyle w:val="42"/>
              <w:spacing w:after="0"/>
              <w:ind w:left="0" w:firstLine="0" w:firstLineChars="0"/>
              <w:contextualSpacing w:val="0"/>
              <w:jc w:val="center"/>
              <w:rPr>
                <w:rFonts w:hint="eastAsia" w:ascii="仿宋_GB2312" w:hAnsi="仿宋_GB2312" w:cs="仿宋_GB2312"/>
                <w:spacing w:val="-5"/>
                <w:sz w:val="28"/>
                <w:szCs w:val="28"/>
              </w:rPr>
            </w:pPr>
            <w:r>
              <w:rPr>
                <w:rFonts w:hint="eastAsia" w:ascii="仿宋_GB2312" w:hAnsi="仿宋_GB2312" w:cs="仿宋_GB2312"/>
                <w:sz w:val="28"/>
                <w:szCs w:val="28"/>
              </w:rPr>
              <w:t>（在自行监测方案基础上，建议增加土壤点位和地下水监测井）</w:t>
            </w: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bookmarkStart w:id="44" w:name="OLE_LINK7"/>
            <w:r>
              <w:rPr>
                <w:rFonts w:hint="eastAsia" w:ascii="仿宋_GB2312" w:hAnsi="仿宋_GB2312" w:cs="仿宋_GB2312"/>
                <w:spacing w:val="-5"/>
                <w:sz w:val="28"/>
                <w:szCs w:val="28"/>
              </w:rPr>
              <w:t>增加的</w:t>
            </w:r>
            <w:bookmarkEnd w:id="44"/>
            <w:r>
              <w:rPr>
                <w:rFonts w:hint="eastAsia" w:ascii="仿宋_GB2312" w:hAnsi="仿宋_GB2312" w:cs="仿宋_GB2312"/>
                <w:spacing w:val="-5"/>
                <w:sz w:val="28"/>
                <w:szCs w:val="28"/>
              </w:rPr>
              <w:t>土壤点位数量</w:t>
            </w:r>
          </w:p>
        </w:tc>
        <w:tc>
          <w:tcPr>
            <w:tcW w:w="5528" w:type="dxa"/>
            <w:gridSpan w:val="2"/>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在HJ 1209要求的基础上，原则上每个重点监测单元至少新增2个深层土壤监测点</w:t>
            </w:r>
            <w:bookmarkStart w:id="45" w:name="OLE_LINK5"/>
            <w:r>
              <w:rPr>
                <w:rFonts w:hint="eastAsia" w:ascii="仿宋_GB2312" w:hAnsi="仿宋_GB2312" w:cs="仿宋_GB2312"/>
                <w:spacing w:val="-5"/>
                <w:sz w:val="28"/>
                <w:szCs w:val="28"/>
              </w:rPr>
              <w:t>。</w:t>
            </w:r>
            <w:bookmarkEnd w:id="45"/>
          </w:p>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如污染可能迁移扩散至重点监管单位厂界外的，需要在污染物迁移扩散区域（如厂界处或厂界外）至少布设1个深层土壤监测点。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55" w:type="dxa"/>
            <w:vMerge w:val="continue"/>
          </w:tcPr>
          <w:p>
            <w:pPr>
              <w:pStyle w:val="42"/>
              <w:spacing w:after="0"/>
              <w:ind w:left="0" w:firstLine="0" w:firstLineChars="0"/>
              <w:contextualSpacing w:val="0"/>
              <w:rPr>
                <w:rFonts w:hint="eastAsia" w:ascii="仿宋_GB2312" w:hAnsi="仿宋_GB2312" w:cs="仿宋_GB2312"/>
                <w:spacing w:val="-5"/>
                <w:sz w:val="28"/>
                <w:szCs w:val="28"/>
              </w:rPr>
            </w:pP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土壤监测频次</w:t>
            </w:r>
          </w:p>
        </w:tc>
        <w:tc>
          <w:tcPr>
            <w:tcW w:w="5528" w:type="dxa"/>
            <w:gridSpan w:val="2"/>
            <w:vAlign w:val="center"/>
          </w:tcPr>
          <w:p>
            <w:pPr>
              <w:pStyle w:val="42"/>
              <w:spacing w:after="0"/>
              <w:ind w:left="0" w:firstLine="0" w:firstLineChars="0"/>
              <w:contextualSpacing w:val="0"/>
              <w:jc w:val="center"/>
              <w:rPr>
                <w:rFonts w:hint="eastAsia" w:ascii="仿宋_GB2312" w:hAnsi="仿宋_GB2312" w:cs="仿宋_GB2312"/>
                <w:spacing w:val="-5"/>
                <w:sz w:val="28"/>
                <w:szCs w:val="28"/>
              </w:rPr>
            </w:pPr>
            <w:r>
              <w:rPr>
                <w:rFonts w:hint="eastAsia" w:ascii="仿宋_GB2312" w:hAnsi="仿宋_GB2312" w:cs="仿宋_GB2312"/>
                <w:spacing w:val="-5"/>
                <w:sz w:val="28"/>
                <w:szCs w:val="28"/>
              </w:rPr>
              <w:t>1年/次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55" w:type="dxa"/>
            <w:vMerge w:val="continue"/>
            <w:vAlign w:val="center"/>
          </w:tcPr>
          <w:p>
            <w:pPr>
              <w:pStyle w:val="42"/>
              <w:spacing w:after="0"/>
              <w:ind w:left="0" w:firstLine="0" w:firstLineChars="0"/>
              <w:contextualSpacing w:val="0"/>
              <w:rPr>
                <w:rFonts w:hint="eastAsia" w:ascii="仿宋_GB2312" w:hAnsi="仿宋_GB2312" w:cs="仿宋_GB2312"/>
                <w:spacing w:val="-5"/>
                <w:sz w:val="28"/>
                <w:szCs w:val="28"/>
              </w:rPr>
            </w:pP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增加的地下水监测井数量</w:t>
            </w:r>
          </w:p>
        </w:tc>
        <w:tc>
          <w:tcPr>
            <w:tcW w:w="5528" w:type="dxa"/>
            <w:gridSpan w:val="2"/>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在HJ 1209要求的基础上，原则上每个重点监测单元至少新增2个地下水监测井。</w:t>
            </w:r>
          </w:p>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根据污染物的迁移扩散路径，在厂界处或厂界外至少布设1个地下水监测井。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555" w:type="dxa"/>
            <w:vMerge w:val="continue"/>
          </w:tcPr>
          <w:p>
            <w:pPr>
              <w:pStyle w:val="42"/>
              <w:spacing w:after="0"/>
              <w:ind w:left="0" w:firstLine="0" w:firstLineChars="0"/>
              <w:contextualSpacing w:val="0"/>
              <w:rPr>
                <w:rFonts w:hint="eastAsia" w:ascii="仿宋_GB2312" w:hAnsi="仿宋_GB2312" w:cs="仿宋_GB2312"/>
                <w:spacing w:val="-5"/>
                <w:sz w:val="28"/>
                <w:szCs w:val="28"/>
              </w:rPr>
            </w:pPr>
          </w:p>
        </w:tc>
        <w:tc>
          <w:tcPr>
            <w:tcW w:w="2131" w:type="dxa"/>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地下水监测频次</w:t>
            </w:r>
          </w:p>
        </w:tc>
        <w:tc>
          <w:tcPr>
            <w:tcW w:w="5528" w:type="dxa"/>
            <w:gridSpan w:val="2"/>
            <w:vAlign w:val="center"/>
          </w:tcPr>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1季/次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214" w:type="dxa"/>
            <w:gridSpan w:val="4"/>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注：</w:t>
            </w:r>
          </w:p>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①根据HJ 1209，重点监测单元为可能通过渗漏、流失、扬散等途径导致土壤或地下水污染的场所或设施设备。一类单元为内部存在隐蔽性重点设施设备的重点监测单元。隐蔽性重点设施设备，指污染发生后不能及时发现或处理的重点设施设备，如地下、半地下或接地的储罐、池体、管道等。二类单元为除一类单元外其他重点监测单元。重点场所或重点设施设备分布较密集的区域可统一划分为一个重点监测单元，每个重点监测单元原则上面积不大于6400 m</w:t>
            </w:r>
            <w:r>
              <w:rPr>
                <w:rFonts w:hint="eastAsia" w:ascii="仿宋_GB2312" w:hAnsi="仿宋_GB2312" w:cs="仿宋_GB2312"/>
                <w:spacing w:val="-5"/>
                <w:sz w:val="28"/>
                <w:szCs w:val="28"/>
                <w:vertAlign w:val="superscript"/>
              </w:rPr>
              <w:t>2</w:t>
            </w:r>
            <w:r>
              <w:rPr>
                <w:rFonts w:hint="eastAsia" w:ascii="仿宋_GB2312" w:hAnsi="仿宋_GB2312" w:cs="仿宋_GB2312"/>
                <w:spacing w:val="-5"/>
                <w:sz w:val="28"/>
                <w:szCs w:val="28"/>
              </w:rPr>
              <w:t>；</w:t>
            </w:r>
          </w:p>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②根据HJ1209，下游50 m范围内设有地下水监测井并按要求开展地下水监测的单元可不布设深层土壤监测点；单位内部及周边20 m范围内地面已全部采取无缝硬化或其他有效防渗措施，无裸露土壤的，可不布设表层土壤监测点；</w:t>
            </w:r>
          </w:p>
          <w:p>
            <w:pPr>
              <w:pStyle w:val="42"/>
              <w:spacing w:after="0"/>
              <w:ind w:left="0" w:firstLine="0" w:firstLineChars="0"/>
              <w:contextualSpacing w:val="0"/>
              <w:rPr>
                <w:rFonts w:hint="eastAsia" w:ascii="仿宋_GB2312" w:hAnsi="仿宋_GB2312" w:cs="仿宋_GB2312"/>
                <w:spacing w:val="-5"/>
                <w:sz w:val="28"/>
                <w:szCs w:val="28"/>
              </w:rPr>
            </w:pPr>
            <w:r>
              <w:rPr>
                <w:rFonts w:hint="eastAsia" w:ascii="仿宋_GB2312" w:hAnsi="仿宋_GB2312" w:cs="仿宋_GB2312"/>
                <w:spacing w:val="-5"/>
                <w:sz w:val="28"/>
                <w:szCs w:val="28"/>
              </w:rPr>
              <w:t>③根据HJ 1209，该监测频次适用于周边1 km范围内存在地下水环境敏感区的重点监管单位。</w:t>
            </w:r>
          </w:p>
        </w:tc>
      </w:tr>
      <w:bookmarkEnd w:id="41"/>
    </w:tbl>
    <w:p>
      <w:pPr>
        <w:pStyle w:val="5"/>
        <w:spacing w:before="0" w:after="0"/>
        <w:ind w:firstLine="640"/>
        <w:rPr>
          <w:color w:val="auto"/>
        </w:rPr>
      </w:pPr>
      <w:bookmarkStart w:id="46" w:name="_Toc214374507"/>
      <w:r>
        <w:rPr>
          <w:rFonts w:hint="eastAsia"/>
          <w:color w:val="auto"/>
        </w:rPr>
        <w:t>（二）强化措施</w:t>
      </w:r>
      <w:bookmarkEnd w:id="46"/>
    </w:p>
    <w:p>
      <w:pPr>
        <w:spacing w:after="0"/>
        <w:ind w:firstLine="688"/>
        <w:rPr>
          <w:rFonts w:hint="eastAsia" w:ascii="仿宋_GB2312" w:hAnsi="仿宋_GB2312" w:cs="仿宋_GB2312"/>
          <w:spacing w:val="-5"/>
          <w:sz w:val="32"/>
          <w:szCs w:val="32"/>
        </w:rPr>
      </w:pPr>
      <w:bookmarkStart w:id="47" w:name="OLE_LINK36"/>
      <w:bookmarkStart w:id="48" w:name="OLE_LINK16"/>
      <w:r>
        <w:rPr>
          <w:rFonts w:hint="eastAsia" w:ascii="仿宋_GB2312" w:hAnsi="仿宋_GB2312" w:cs="仿宋_GB2312"/>
          <w:spacing w:val="12"/>
          <w:sz w:val="32"/>
          <w:szCs w:val="32"/>
        </w:rPr>
        <w:t>重点监管单位</w:t>
      </w:r>
      <w:bookmarkEnd w:id="47"/>
      <w:r>
        <w:rPr>
          <w:rFonts w:hint="eastAsia" w:ascii="仿宋_GB2312" w:hAnsi="仿宋_GB2312" w:cs="仿宋_GB2312"/>
          <w:spacing w:val="-5"/>
          <w:sz w:val="32"/>
          <w:szCs w:val="32"/>
        </w:rPr>
        <w:t>根据</w:t>
      </w:r>
      <w:r>
        <w:rPr>
          <w:rFonts w:hint="eastAsia" w:ascii="仿宋_GB2312" w:hAnsi="仿宋_GB2312" w:cs="仿宋_GB2312"/>
          <w:spacing w:val="12"/>
          <w:sz w:val="32"/>
          <w:szCs w:val="32"/>
        </w:rPr>
        <w:t>实际需求，</w:t>
      </w:r>
      <w:r>
        <w:rPr>
          <w:rFonts w:hint="eastAsia" w:ascii="仿宋_GB2312" w:hAnsi="仿宋_GB2312" w:cs="仿宋_GB2312"/>
          <w:spacing w:val="-5"/>
          <w:sz w:val="32"/>
          <w:szCs w:val="32"/>
        </w:rPr>
        <w:t>建立地下水污染风险监测网络和预警平台</w:t>
      </w:r>
      <w:bookmarkEnd w:id="48"/>
      <w:r>
        <w:rPr>
          <w:rFonts w:hint="eastAsia" w:ascii="仿宋_GB2312" w:hAnsi="仿宋_GB2312" w:cs="仿宋_GB2312"/>
          <w:spacing w:val="-5"/>
          <w:sz w:val="32"/>
          <w:szCs w:val="32"/>
        </w:rPr>
        <w:t>。</w:t>
      </w:r>
    </w:p>
    <w:p>
      <w:pPr>
        <w:spacing w:after="0"/>
        <w:ind w:firstLine="620"/>
        <w:rPr>
          <w:rFonts w:ascii="Times New Roman" w:hAnsi="Times New Roman" w:cs="仿宋_GB2312"/>
          <w:spacing w:val="-5"/>
          <w:sz w:val="32"/>
          <w:szCs w:val="32"/>
        </w:rPr>
      </w:pPr>
      <w:r>
        <w:rPr>
          <w:rFonts w:hint="eastAsia" w:ascii="仿宋_GB2312" w:hAnsi="仿宋_GB2312" w:cs="仿宋_GB2312"/>
          <w:spacing w:val="-5"/>
          <w:sz w:val="32"/>
          <w:szCs w:val="32"/>
        </w:rPr>
        <w:t>地下水污染风险监测网络可通过结合已有地下水监测井和新建地下水监测井来建立。</w:t>
      </w:r>
      <w:bookmarkStart w:id="49" w:name="OLE_LINK17"/>
      <w:r>
        <w:rPr>
          <w:rFonts w:hint="eastAsia" w:ascii="仿宋_GB2312" w:hAnsi="仿宋_GB2312" w:cs="仿宋_GB2312"/>
          <w:spacing w:val="-5"/>
          <w:sz w:val="32"/>
          <w:szCs w:val="32"/>
        </w:rPr>
        <w:t>监测模式可包括批次采样监测和在线监测。在线监测指标包括常规参数（pH、电导率、溶解氧、浊度和温度）和水位</w:t>
      </w:r>
      <w:bookmarkStart w:id="50" w:name="_Hlk205916450"/>
      <w:r>
        <w:rPr>
          <w:rFonts w:hint="eastAsia" w:ascii="仿宋_GB2312" w:hAnsi="仿宋_GB2312" w:cs="仿宋_GB2312"/>
          <w:spacing w:val="-5"/>
          <w:sz w:val="32"/>
          <w:szCs w:val="32"/>
        </w:rPr>
        <w:t>。</w:t>
      </w:r>
      <w:bookmarkEnd w:id="50"/>
      <w:bookmarkStart w:id="51" w:name="_Hlk205916033"/>
      <w:r>
        <w:rPr>
          <w:rFonts w:hint="eastAsia" w:ascii="仿宋_GB2312" w:hAnsi="仿宋_GB2312" w:cs="仿宋_GB2312"/>
          <w:spacing w:val="-5"/>
          <w:sz w:val="32"/>
          <w:szCs w:val="32"/>
        </w:rPr>
        <w:t>另外可将有毒有害物质与地下水在线监测较为成熟的理化指标（如耗氧量、总氮、电导率、氧化还原电位等）进行关联性分析。与深圳市</w:t>
      </w:r>
      <w:r>
        <w:rPr>
          <w:rFonts w:hint="eastAsia" w:ascii="仿宋_GB2312" w:hAnsi="仿宋_GB2312" w:cs="仿宋_GB2312"/>
          <w:sz w:val="32"/>
          <w:szCs w:val="32"/>
        </w:rPr>
        <w:t>金属表面处理及热处理加工行业常见的有毒有害物质关联的理化性质指标</w:t>
      </w:r>
      <w:r>
        <w:rPr>
          <w:rFonts w:hint="eastAsia" w:ascii="仿宋_GB2312" w:hAnsi="仿宋_GB2312" w:cs="仿宋_GB2312"/>
          <w:spacing w:val="-5"/>
          <w:sz w:val="32"/>
          <w:szCs w:val="32"/>
        </w:rPr>
        <w:t>可参考表2。批次采样监测和在线监测的频次根据土壤和地下水的污染程度确定，不低于基础措施的监测频次。</w:t>
      </w:r>
      <w:bookmarkEnd w:id="51"/>
    </w:p>
    <w:p>
      <w:pPr>
        <w:spacing w:after="0"/>
        <w:ind w:firstLine="0" w:firstLineChars="0"/>
        <w:jc w:val="center"/>
        <w:rPr>
          <w:rFonts w:hint="eastAsia" w:ascii="黑体" w:hAnsi="黑体" w:eastAsia="黑体" w:cs="黑体"/>
          <w:b w:val="0"/>
          <w:bCs w:val="0"/>
          <w:sz w:val="28"/>
          <w:szCs w:val="21"/>
        </w:rPr>
      </w:pPr>
      <w:r>
        <w:rPr>
          <w:rFonts w:hint="eastAsia" w:ascii="黑体" w:hAnsi="黑体" w:eastAsia="黑体" w:cs="黑体"/>
          <w:b w:val="0"/>
          <w:bCs w:val="0"/>
          <w:sz w:val="28"/>
          <w:szCs w:val="21"/>
        </w:rPr>
        <w:t>表2  与理化性质指标关联的有毒有害物质</w:t>
      </w:r>
    </w:p>
    <w:tbl>
      <w:tblPr>
        <w:tblStyle w:val="2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0" w:type="dxa"/>
            <w:vAlign w:val="center"/>
          </w:tcPr>
          <w:p>
            <w:pPr>
              <w:spacing w:after="0"/>
              <w:ind w:firstLine="0" w:firstLineChars="0"/>
              <w:jc w:val="center"/>
              <w:rPr>
                <w:rFonts w:hint="eastAsia" w:ascii="黑体" w:hAnsi="黑体" w:eastAsia="黑体" w:cs="黑体"/>
                <w:b w:val="0"/>
                <w:bCs w:val="0"/>
                <w:spacing w:val="-5"/>
                <w:sz w:val="28"/>
                <w:szCs w:val="28"/>
              </w:rPr>
            </w:pPr>
            <w:r>
              <w:rPr>
                <w:rFonts w:hint="eastAsia" w:ascii="黑体" w:hAnsi="黑体" w:eastAsia="黑体" w:cs="黑体"/>
                <w:b w:val="0"/>
                <w:bCs w:val="0"/>
                <w:spacing w:val="-5"/>
                <w:sz w:val="28"/>
                <w:szCs w:val="28"/>
              </w:rPr>
              <w:t>关联指标</w:t>
            </w:r>
          </w:p>
        </w:tc>
        <w:tc>
          <w:tcPr>
            <w:tcW w:w="6951" w:type="dxa"/>
            <w:vAlign w:val="center"/>
          </w:tcPr>
          <w:p>
            <w:pPr>
              <w:spacing w:after="0"/>
              <w:ind w:firstLine="0" w:firstLineChars="0"/>
              <w:jc w:val="center"/>
              <w:rPr>
                <w:rFonts w:hint="eastAsia" w:ascii="黑体" w:hAnsi="黑体" w:eastAsia="黑体" w:cs="黑体"/>
                <w:b w:val="0"/>
                <w:bCs w:val="0"/>
                <w:spacing w:val="-5"/>
                <w:sz w:val="28"/>
                <w:szCs w:val="28"/>
              </w:rPr>
            </w:pPr>
            <w:r>
              <w:rPr>
                <w:rFonts w:hint="eastAsia" w:ascii="黑体" w:hAnsi="黑体" w:eastAsia="黑体" w:cs="黑体"/>
                <w:b w:val="0"/>
                <w:bCs w:val="0"/>
                <w:spacing w:val="-5"/>
                <w:sz w:val="28"/>
                <w:szCs w:val="28"/>
              </w:rPr>
              <w:t>金属表面处理及热处理加工行业</w:t>
            </w:r>
            <w:bookmarkStart w:id="52" w:name="OLE_LINK34"/>
            <w:r>
              <w:rPr>
                <w:rFonts w:hint="eastAsia" w:ascii="黑体" w:hAnsi="黑体" w:eastAsia="黑体" w:cs="黑体"/>
                <w:b w:val="0"/>
                <w:bCs w:val="0"/>
                <w:spacing w:val="-5"/>
                <w:sz w:val="28"/>
                <w:szCs w:val="28"/>
              </w:rPr>
              <w:t>常见的有毒有害物质</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after="0"/>
              <w:ind w:firstLine="0" w:firstLineChars="0"/>
              <w:jc w:val="center"/>
              <w:rPr>
                <w:rFonts w:hint="eastAsia" w:ascii="仿宋_GB2312" w:hAnsi="仿宋_GB2312" w:cs="仿宋_GB2312"/>
                <w:spacing w:val="-5"/>
                <w:sz w:val="28"/>
                <w:szCs w:val="28"/>
              </w:rPr>
            </w:pPr>
            <w:r>
              <w:rPr>
                <w:rFonts w:hint="eastAsia" w:ascii="仿宋_GB2312" w:hAnsi="仿宋_GB2312" w:cs="仿宋_GB2312"/>
                <w:spacing w:val="-5"/>
                <w:sz w:val="28"/>
                <w:szCs w:val="28"/>
              </w:rPr>
              <w:t>耗氧量</w:t>
            </w:r>
          </w:p>
        </w:tc>
        <w:tc>
          <w:tcPr>
            <w:tcW w:w="6951" w:type="dxa"/>
            <w:vAlign w:val="center"/>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石油烃（C</w:t>
            </w:r>
            <w:r>
              <w:rPr>
                <w:rFonts w:hint="eastAsia" w:ascii="仿宋_GB2312" w:hAnsi="仿宋_GB2312" w:cs="仿宋_GB2312"/>
                <w:spacing w:val="-5"/>
                <w:sz w:val="28"/>
                <w:szCs w:val="28"/>
                <w:vertAlign w:val="subscript"/>
              </w:rPr>
              <w:t>10</w:t>
            </w:r>
            <w:r>
              <w:rPr>
                <w:rFonts w:hint="eastAsia" w:ascii="仿宋_GB2312" w:hAnsi="仿宋_GB2312" w:cs="仿宋_GB2312"/>
                <w:spacing w:val="-5"/>
                <w:sz w:val="28"/>
                <w:szCs w:val="28"/>
              </w:rPr>
              <w:t>~C</w:t>
            </w:r>
            <w:r>
              <w:rPr>
                <w:rFonts w:hint="eastAsia" w:ascii="仿宋_GB2312" w:hAnsi="仿宋_GB2312" w:cs="仿宋_GB2312"/>
                <w:spacing w:val="-5"/>
                <w:sz w:val="28"/>
                <w:szCs w:val="28"/>
                <w:vertAlign w:val="subscript"/>
              </w:rPr>
              <w:t>40</w:t>
            </w:r>
            <w:r>
              <w:rPr>
                <w:rFonts w:hint="eastAsia" w:ascii="仿宋_GB2312" w:hAnsi="仿宋_GB2312" w:cs="仿宋_GB2312"/>
                <w:spacing w:val="-5"/>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after="0"/>
              <w:ind w:firstLine="0" w:firstLineChars="0"/>
              <w:jc w:val="center"/>
              <w:rPr>
                <w:rFonts w:hint="eastAsia" w:ascii="仿宋_GB2312" w:hAnsi="仿宋_GB2312" w:cs="仿宋_GB2312"/>
                <w:spacing w:val="-5"/>
                <w:sz w:val="28"/>
                <w:szCs w:val="28"/>
              </w:rPr>
            </w:pPr>
            <w:r>
              <w:rPr>
                <w:rFonts w:hint="eastAsia" w:ascii="仿宋_GB2312" w:hAnsi="仿宋_GB2312" w:cs="仿宋_GB2312"/>
                <w:spacing w:val="-5"/>
                <w:sz w:val="28"/>
                <w:szCs w:val="28"/>
              </w:rPr>
              <w:t>总氮</w:t>
            </w:r>
          </w:p>
        </w:tc>
        <w:tc>
          <w:tcPr>
            <w:tcW w:w="6951" w:type="dxa"/>
            <w:vAlign w:val="center"/>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总氰化物、硝基苯、邻硝基甲苯、2,5-二氯硝基苯、苯胺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pPr>
              <w:spacing w:after="0"/>
              <w:ind w:firstLine="0" w:firstLineChars="0"/>
              <w:jc w:val="center"/>
              <w:rPr>
                <w:rFonts w:hint="eastAsia" w:ascii="仿宋_GB2312" w:hAnsi="仿宋_GB2312" w:cs="仿宋_GB2312"/>
                <w:spacing w:val="-5"/>
                <w:sz w:val="28"/>
                <w:szCs w:val="28"/>
              </w:rPr>
            </w:pPr>
            <w:r>
              <w:rPr>
                <w:rFonts w:hint="eastAsia" w:ascii="仿宋_GB2312" w:hAnsi="仿宋_GB2312" w:cs="仿宋_GB2312"/>
                <w:spacing w:val="-5"/>
                <w:sz w:val="28"/>
                <w:szCs w:val="28"/>
              </w:rPr>
              <w:t>电导率</w:t>
            </w:r>
          </w:p>
        </w:tc>
        <w:tc>
          <w:tcPr>
            <w:tcW w:w="6951" w:type="dxa"/>
            <w:vAlign w:val="center"/>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总镉、总铅、总砷、六价铬、总铬、总镍、总铜、总锌、总汞、</w:t>
            </w:r>
            <w:r>
              <w:rPr>
                <w:rFonts w:hint="eastAsia" w:ascii="仿宋_GB2312" w:hAnsi="仿宋_GB2312" w:cs="仿宋_GB2312"/>
                <w:sz w:val="28"/>
                <w:szCs w:val="28"/>
              </w:rPr>
              <w:t>锡、银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after="0"/>
              <w:ind w:firstLine="0" w:firstLineChars="0"/>
              <w:jc w:val="center"/>
              <w:rPr>
                <w:rFonts w:hint="eastAsia" w:ascii="仿宋_GB2312" w:hAnsi="仿宋_GB2312" w:cs="仿宋_GB2312"/>
                <w:spacing w:val="-5"/>
                <w:sz w:val="28"/>
                <w:szCs w:val="28"/>
              </w:rPr>
            </w:pPr>
            <w:r>
              <w:rPr>
                <w:rFonts w:hint="eastAsia" w:ascii="仿宋_GB2312" w:hAnsi="仿宋_GB2312" w:cs="仿宋_GB2312"/>
                <w:spacing w:val="-5"/>
                <w:sz w:val="28"/>
                <w:szCs w:val="28"/>
              </w:rPr>
              <w:t xml:space="preserve">pH </w:t>
            </w:r>
          </w:p>
        </w:tc>
        <w:tc>
          <w:tcPr>
            <w:tcW w:w="6951" w:type="dxa"/>
            <w:vAlign w:val="center"/>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盐酸、硫酸、液碱、氢氧化钠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氧化还原电位</w:t>
            </w:r>
          </w:p>
        </w:tc>
        <w:tc>
          <w:tcPr>
            <w:tcW w:w="6951" w:type="dxa"/>
            <w:vAlign w:val="center"/>
          </w:tcPr>
          <w:p>
            <w:pPr>
              <w:spacing w:after="0"/>
              <w:ind w:firstLine="0" w:firstLineChars="0"/>
              <w:rPr>
                <w:rFonts w:hint="eastAsia" w:ascii="仿宋_GB2312" w:hAnsi="仿宋_GB2312" w:cs="仿宋_GB2312"/>
                <w:spacing w:val="-5"/>
                <w:sz w:val="28"/>
                <w:szCs w:val="28"/>
              </w:rPr>
            </w:pPr>
            <w:r>
              <w:rPr>
                <w:rFonts w:hint="eastAsia" w:ascii="仿宋_GB2312" w:hAnsi="仿宋_GB2312" w:cs="仿宋_GB2312"/>
                <w:spacing w:val="-5"/>
                <w:sz w:val="28"/>
                <w:szCs w:val="28"/>
              </w:rPr>
              <w:t>氟化物</w:t>
            </w:r>
          </w:p>
        </w:tc>
      </w:tr>
    </w:tbl>
    <w:p>
      <w:pPr>
        <w:spacing w:after="0"/>
        <w:ind w:firstLine="688"/>
        <w:rPr>
          <w:rFonts w:ascii="Times New Roman" w:hAnsi="Times New Roman" w:cs="仿宋_GB2312"/>
          <w:spacing w:val="-5"/>
          <w:sz w:val="32"/>
          <w:szCs w:val="32"/>
        </w:rPr>
      </w:pPr>
      <w:r>
        <w:rPr>
          <w:rFonts w:hint="eastAsia" w:ascii="Times New Roman" w:hAnsi="Times New Roman" w:cs="仿宋_GB2312"/>
          <w:spacing w:val="12"/>
          <w:sz w:val="32"/>
          <w:szCs w:val="32"/>
        </w:rPr>
        <w:t>重点监管单位的地下水</w:t>
      </w:r>
      <w:r>
        <w:rPr>
          <w:rFonts w:hint="eastAsia" w:ascii="Times New Roman" w:hAnsi="Times New Roman" w:cs="仿宋_GB2312"/>
          <w:spacing w:val="-5"/>
          <w:sz w:val="32"/>
          <w:szCs w:val="32"/>
        </w:rPr>
        <w:t>预警平台应满足对监测对象的自动、连续、实时监测，具备前端监测数据管理、数据动态展示、预警分析以及数据应用服务能力；同时能在信息采集及预报分析决策基础上，根据污染程度及污染扩散范围确定预警等级，并将预警信息推送至管理终端，使预警信息接收人员能实时掌握土壤和地下水环境的整体状态。</w:t>
      </w:r>
      <w:bookmarkEnd w:id="49"/>
    </w:p>
    <w:p>
      <w:pPr>
        <w:pStyle w:val="5"/>
        <w:spacing w:before="0" w:after="0"/>
        <w:ind w:firstLine="640"/>
        <w:rPr>
          <w:color w:val="auto"/>
        </w:rPr>
      </w:pPr>
      <w:bookmarkStart w:id="53" w:name="_Toc214374508"/>
      <w:r>
        <w:rPr>
          <w:rFonts w:hint="eastAsia"/>
          <w:color w:val="auto"/>
        </w:rPr>
        <w:t>（三）预警响应</w:t>
      </w:r>
      <w:bookmarkEnd w:id="53"/>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根据基础措施或强化措施的监测结果，土壤特征污染物含量超过《土壤环境质量 建设用地土壤污染风险管控标准（试行）》（GB 36600）第二类用地筛选值，或地下水特征污染物浓度超过《地下水质量标准》（GB/T 14848）IV类标准的，确定为特征污染物超标。</w:t>
      </w:r>
      <w:r>
        <w:rPr>
          <w:rFonts w:hint="eastAsia" w:ascii="仿宋_GB2312" w:hAnsi="仿宋_GB2312" w:cs="仿宋_GB2312"/>
          <w:spacing w:val="12"/>
          <w:sz w:val="32"/>
          <w:szCs w:val="32"/>
        </w:rPr>
        <w:t>重点监管单位</w:t>
      </w:r>
      <w:r>
        <w:rPr>
          <w:rFonts w:hint="eastAsia" w:ascii="仿宋_GB2312" w:hAnsi="仿宋_GB2312" w:cs="仿宋_GB2312"/>
          <w:sz w:val="32"/>
          <w:szCs w:val="32"/>
        </w:rPr>
        <w:t>根据表3的污染情形和预警级别，采取响应措施。</w:t>
      </w:r>
    </w:p>
    <w:p>
      <w:pPr>
        <w:spacing w:after="0"/>
        <w:ind w:firstLine="0" w:firstLineChars="0"/>
        <w:jc w:val="center"/>
        <w:rPr>
          <w:rFonts w:hint="eastAsia" w:ascii="黑体" w:hAnsi="黑体" w:eastAsia="黑体" w:cs="黑体"/>
          <w:b w:val="0"/>
          <w:bCs w:val="0"/>
          <w:sz w:val="28"/>
          <w:szCs w:val="21"/>
        </w:rPr>
      </w:pPr>
      <w:r>
        <w:rPr>
          <w:rFonts w:hint="eastAsia" w:ascii="黑体" w:hAnsi="黑体" w:eastAsia="黑体" w:cs="黑体"/>
          <w:b w:val="0"/>
          <w:bCs w:val="0"/>
          <w:sz w:val="28"/>
          <w:szCs w:val="21"/>
        </w:rPr>
        <w:t>表3  监测预警响应措施</w:t>
      </w:r>
    </w:p>
    <w:tbl>
      <w:tblPr>
        <w:tblStyle w:val="2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55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539" w:type="dxa"/>
            <w:vAlign w:val="center"/>
          </w:tcPr>
          <w:p>
            <w:pPr>
              <w:spacing w:after="0"/>
              <w:ind w:firstLine="0" w:firstLineChars="0"/>
              <w:jc w:val="center"/>
              <w:rPr>
                <w:rFonts w:hint="eastAsia" w:ascii="黑体" w:hAnsi="黑体" w:eastAsia="黑体" w:cs="黑体"/>
                <w:b w:val="0"/>
                <w:bCs w:val="0"/>
                <w:kern w:val="0"/>
                <w:sz w:val="28"/>
                <w:szCs w:val="28"/>
              </w:rPr>
            </w:pPr>
            <w:bookmarkStart w:id="54" w:name="OLE_LINK18"/>
            <w:r>
              <w:rPr>
                <w:rFonts w:hint="eastAsia" w:ascii="黑体" w:hAnsi="黑体" w:eastAsia="黑体" w:cs="黑体"/>
                <w:b w:val="0"/>
                <w:bCs w:val="0"/>
                <w:kern w:val="0"/>
                <w:sz w:val="28"/>
                <w:szCs w:val="28"/>
              </w:rPr>
              <w:t>污染情形</w:t>
            </w:r>
          </w:p>
        </w:tc>
        <w:tc>
          <w:tcPr>
            <w:tcW w:w="1559" w:type="dxa"/>
            <w:vAlign w:val="center"/>
          </w:tcPr>
          <w:p>
            <w:pPr>
              <w:spacing w:after="0"/>
              <w:ind w:firstLine="0" w:firstLine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预警级别</w:t>
            </w:r>
          </w:p>
        </w:tc>
        <w:tc>
          <w:tcPr>
            <w:tcW w:w="4536" w:type="dxa"/>
            <w:vAlign w:val="center"/>
          </w:tcPr>
          <w:p>
            <w:pPr>
              <w:spacing w:after="0"/>
              <w:ind w:firstLine="0" w:firstLineChars="0"/>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vAlign w:val="center"/>
          </w:tcPr>
          <w:p>
            <w:pPr>
              <w:spacing w:after="0"/>
              <w:ind w:firstLine="0" w:firstLineChars="0"/>
              <w:rPr>
                <w:rFonts w:hint="eastAsia" w:ascii="仿宋_GB2312" w:hAnsi="仿宋_GB2312" w:cs="仿宋_GB2312"/>
                <w:kern w:val="0"/>
                <w:sz w:val="28"/>
                <w:szCs w:val="28"/>
              </w:rPr>
            </w:pPr>
            <w:r>
              <w:rPr>
                <w:rFonts w:hint="eastAsia" w:ascii="仿宋_GB2312" w:hAnsi="仿宋_GB2312" w:cs="仿宋_GB2312"/>
                <w:kern w:val="0"/>
                <w:sz w:val="28"/>
                <w:szCs w:val="28"/>
              </w:rPr>
              <w:t>土壤或地下水特征污染物的污染羽</w:t>
            </w:r>
            <w:bookmarkStart w:id="55" w:name="OLE_LINK35"/>
            <w:r>
              <w:rPr>
                <w:rFonts w:hint="eastAsia" w:ascii="仿宋_GB2312" w:hAnsi="仿宋_GB2312" w:cs="仿宋_GB2312"/>
                <w:kern w:val="0"/>
                <w:sz w:val="28"/>
                <w:szCs w:val="28"/>
              </w:rPr>
              <w:t>迁移出</w:t>
            </w:r>
            <w:bookmarkEnd w:id="55"/>
            <w:r>
              <w:rPr>
                <w:rFonts w:hint="eastAsia" w:ascii="仿宋_GB2312" w:hAnsi="仿宋_GB2312" w:cs="仿宋_GB2312"/>
                <w:kern w:val="0"/>
                <w:sz w:val="28"/>
                <w:szCs w:val="28"/>
              </w:rPr>
              <w:t>厂界</w:t>
            </w:r>
          </w:p>
        </w:tc>
        <w:tc>
          <w:tcPr>
            <w:tcW w:w="1559" w:type="dxa"/>
            <w:vAlign w:val="center"/>
          </w:tcPr>
          <w:p>
            <w:pPr>
              <w:spacing w:after="0"/>
              <w:ind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一级预警</w:t>
            </w:r>
          </w:p>
        </w:tc>
        <w:tc>
          <w:tcPr>
            <w:tcW w:w="4536" w:type="dxa"/>
            <w:vAlign w:val="center"/>
          </w:tcPr>
          <w:p>
            <w:pPr>
              <w:spacing w:after="0"/>
              <w:ind w:firstLine="0" w:firstLineChars="0"/>
              <w:rPr>
                <w:rFonts w:hint="eastAsia" w:ascii="仿宋_GB2312" w:hAnsi="仿宋_GB2312" w:cs="仿宋_GB2312"/>
                <w:kern w:val="0"/>
                <w:sz w:val="28"/>
                <w:szCs w:val="28"/>
              </w:rPr>
            </w:pPr>
            <w:r>
              <w:rPr>
                <w:rFonts w:hint="eastAsia" w:ascii="仿宋_GB2312" w:hAnsi="仿宋_GB2312" w:cs="仿宋_GB2312"/>
                <w:kern w:val="0"/>
                <w:sz w:val="28"/>
                <w:szCs w:val="28"/>
              </w:rPr>
              <w:t>应采取污染溯源、</w:t>
            </w:r>
            <w:bookmarkStart w:id="56" w:name="OLE_LINK25"/>
            <w:r>
              <w:rPr>
                <w:rFonts w:hint="eastAsia" w:ascii="仿宋_GB2312" w:hAnsi="仿宋_GB2312" w:cs="仿宋_GB2312"/>
                <w:kern w:val="0"/>
                <w:sz w:val="28"/>
                <w:szCs w:val="28"/>
              </w:rPr>
              <w:t>切断源头、管控/修复、效果评估</w:t>
            </w:r>
            <w:bookmarkEnd w:id="56"/>
            <w:r>
              <w:rPr>
                <w:rFonts w:hint="eastAsia" w:ascii="仿宋_GB2312" w:hAnsi="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vAlign w:val="center"/>
          </w:tcPr>
          <w:p>
            <w:pPr>
              <w:spacing w:after="0"/>
              <w:ind w:firstLine="0" w:firstLineChars="0"/>
              <w:rPr>
                <w:rFonts w:hint="eastAsia" w:ascii="仿宋_GB2312" w:hAnsi="仿宋_GB2312" w:cs="仿宋_GB2312"/>
                <w:kern w:val="0"/>
                <w:sz w:val="28"/>
                <w:szCs w:val="28"/>
              </w:rPr>
            </w:pPr>
            <w:r>
              <w:rPr>
                <w:rFonts w:hint="eastAsia" w:ascii="仿宋_GB2312" w:hAnsi="仿宋_GB2312" w:cs="仿宋_GB2312"/>
                <w:kern w:val="0"/>
                <w:sz w:val="28"/>
                <w:szCs w:val="28"/>
              </w:rPr>
              <w:t>土壤或地下水特征污染物的污染羽未迁移出厂界，但超标10倍及以上</w:t>
            </w:r>
          </w:p>
        </w:tc>
        <w:tc>
          <w:tcPr>
            <w:tcW w:w="1559" w:type="dxa"/>
            <w:vAlign w:val="center"/>
          </w:tcPr>
          <w:p>
            <w:pPr>
              <w:spacing w:after="0"/>
              <w:ind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二级预警</w:t>
            </w:r>
          </w:p>
        </w:tc>
        <w:tc>
          <w:tcPr>
            <w:tcW w:w="4536" w:type="dxa"/>
            <w:vAlign w:val="center"/>
          </w:tcPr>
          <w:p>
            <w:pPr>
              <w:spacing w:after="0"/>
              <w:ind w:firstLine="0" w:firstLineChars="0"/>
              <w:rPr>
                <w:rFonts w:hint="eastAsia" w:ascii="仿宋_GB2312" w:hAnsi="仿宋_GB2312" w:cs="仿宋_GB2312"/>
                <w:kern w:val="0"/>
                <w:sz w:val="28"/>
                <w:szCs w:val="28"/>
              </w:rPr>
            </w:pPr>
            <w:r>
              <w:rPr>
                <w:rFonts w:hint="eastAsia" w:ascii="仿宋_GB2312" w:hAnsi="仿宋_GB2312" w:cs="仿宋_GB2312"/>
                <w:kern w:val="0"/>
                <w:sz w:val="28"/>
                <w:szCs w:val="28"/>
              </w:rPr>
              <w:t>宜采取污染溯源、切断源头，如特征污染物超标倍数较大，或有迁移扩散出</w:t>
            </w:r>
            <w:bookmarkStart w:id="57" w:name="OLE_LINK37"/>
            <w:r>
              <w:rPr>
                <w:rFonts w:hint="eastAsia" w:ascii="仿宋_GB2312" w:hAnsi="仿宋_GB2312" w:cs="仿宋_GB2312"/>
                <w:kern w:val="0"/>
                <w:sz w:val="28"/>
                <w:szCs w:val="28"/>
              </w:rPr>
              <w:t>厂界</w:t>
            </w:r>
            <w:bookmarkEnd w:id="57"/>
            <w:r>
              <w:rPr>
                <w:rFonts w:hint="eastAsia" w:ascii="仿宋_GB2312" w:hAnsi="仿宋_GB2312" w:cs="仿宋_GB2312"/>
                <w:kern w:val="0"/>
                <w:sz w:val="28"/>
                <w:szCs w:val="28"/>
              </w:rPr>
              <w:t>的趋势，可根据实际情况进一步开展管控/修复、效果评估。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vAlign w:val="center"/>
          </w:tcPr>
          <w:p>
            <w:pPr>
              <w:spacing w:after="0"/>
              <w:ind w:firstLine="0" w:firstLineChars="0"/>
              <w:rPr>
                <w:rFonts w:hint="eastAsia" w:ascii="仿宋_GB2312" w:hAnsi="仿宋_GB2312" w:cs="仿宋_GB2312"/>
                <w:kern w:val="0"/>
                <w:sz w:val="28"/>
                <w:szCs w:val="28"/>
              </w:rPr>
            </w:pPr>
            <w:r>
              <w:rPr>
                <w:rFonts w:hint="eastAsia" w:ascii="仿宋_GB2312" w:hAnsi="仿宋_GB2312" w:cs="仿宋_GB2312"/>
                <w:kern w:val="0"/>
                <w:sz w:val="28"/>
                <w:szCs w:val="28"/>
              </w:rPr>
              <w:t>土壤或地下水特征污染物的污染羽未迁移出厂界，但超标10倍以下</w:t>
            </w:r>
          </w:p>
        </w:tc>
        <w:tc>
          <w:tcPr>
            <w:tcW w:w="1559" w:type="dxa"/>
            <w:vAlign w:val="center"/>
          </w:tcPr>
          <w:p>
            <w:pPr>
              <w:spacing w:after="0"/>
              <w:ind w:firstLine="0" w:firstLineChars="0"/>
              <w:jc w:val="center"/>
              <w:rPr>
                <w:rFonts w:hint="eastAsia" w:ascii="仿宋_GB2312" w:hAnsi="仿宋_GB2312" w:cs="仿宋_GB2312"/>
                <w:kern w:val="0"/>
                <w:sz w:val="28"/>
                <w:szCs w:val="28"/>
              </w:rPr>
            </w:pPr>
            <w:r>
              <w:rPr>
                <w:rFonts w:hint="eastAsia" w:ascii="仿宋_GB2312" w:hAnsi="仿宋_GB2312" w:cs="仿宋_GB2312"/>
                <w:kern w:val="0"/>
                <w:sz w:val="28"/>
                <w:szCs w:val="28"/>
              </w:rPr>
              <w:t>三级预警</w:t>
            </w:r>
          </w:p>
        </w:tc>
        <w:tc>
          <w:tcPr>
            <w:tcW w:w="4536" w:type="dxa"/>
            <w:vAlign w:val="center"/>
          </w:tcPr>
          <w:p>
            <w:pPr>
              <w:spacing w:after="0"/>
              <w:ind w:firstLine="0" w:firstLineChars="0"/>
              <w:rPr>
                <w:rFonts w:hint="eastAsia" w:ascii="仿宋_GB2312" w:hAnsi="仿宋_GB2312" w:cs="仿宋_GB2312"/>
                <w:kern w:val="0"/>
                <w:sz w:val="28"/>
                <w:szCs w:val="28"/>
              </w:rPr>
            </w:pPr>
            <w:r>
              <w:rPr>
                <w:rFonts w:hint="eastAsia" w:ascii="仿宋_GB2312" w:hAnsi="仿宋_GB2312" w:cs="仿宋_GB2312"/>
                <w:kern w:val="0"/>
                <w:sz w:val="28"/>
                <w:szCs w:val="28"/>
              </w:rPr>
              <w:t>可采取污染溯源与跟踪评估，如特征污染物</w:t>
            </w:r>
            <w:r>
              <w:rPr>
                <w:rFonts w:hint="eastAsia" w:ascii="仿宋_GB2312" w:hAnsi="仿宋_GB2312" w:cs="仿宋_GB2312"/>
                <w:spacing w:val="5"/>
                <w:sz w:val="28"/>
                <w:szCs w:val="28"/>
              </w:rPr>
              <w:t>含量（浓度）</w:t>
            </w:r>
            <w:r>
              <w:rPr>
                <w:rFonts w:hint="eastAsia" w:ascii="仿宋_GB2312" w:hAnsi="仿宋_GB2312" w:cs="仿宋_GB2312"/>
                <w:kern w:val="0"/>
                <w:sz w:val="28"/>
                <w:szCs w:val="28"/>
              </w:rPr>
              <w:t>呈上升趋势或有迁移扩散出厂界的趋势，可根据实际情况进一步开展切断源头、管控/修复、效果评估。</w:t>
            </w:r>
          </w:p>
        </w:tc>
      </w:tr>
      <w:bookmarkEnd w:id="54"/>
    </w:tbl>
    <w:p>
      <w:pPr>
        <w:spacing w:after="0"/>
        <w:ind w:firstLine="640"/>
        <w:rPr>
          <w:rFonts w:hint="eastAsia" w:ascii="仿宋_GB2312" w:hAnsi="仿宋_GB2312" w:cs="仿宋_GB2312"/>
          <w:sz w:val="32"/>
          <w:szCs w:val="32"/>
        </w:rPr>
      </w:pPr>
      <w:bookmarkStart w:id="58" w:name="OLE_LINK19"/>
      <w:r>
        <w:rPr>
          <w:rFonts w:hint="eastAsia" w:ascii="仿宋_GB2312" w:hAnsi="仿宋_GB2312" w:cs="仿宋_GB2312"/>
          <w:sz w:val="32"/>
          <w:szCs w:val="32"/>
        </w:rPr>
        <w:t>如监测未发现特征污染物超标，则现阶段不需要采取响应措施，按照《重点监管单位土壤污染隐患排查指南（试行）》（生态环境部 公告2021年第1号）和《工业企业土壤和地下水自行监测技术指南（试行）》（HJ 1209）定期开展隐患排查和自行监测</w:t>
      </w:r>
      <w:bookmarkEnd w:id="58"/>
      <w:r>
        <w:rPr>
          <w:rFonts w:hint="eastAsia" w:ascii="仿宋_GB2312" w:hAnsi="仿宋_GB2312" w:cs="仿宋_GB2312"/>
          <w:sz w:val="32"/>
          <w:szCs w:val="32"/>
        </w:rPr>
        <w:t>。</w:t>
      </w:r>
    </w:p>
    <w:p>
      <w:pPr>
        <w:pStyle w:val="4"/>
        <w:spacing w:after="0" w:line="570" w:lineRule="exact"/>
        <w:ind w:firstLine="640"/>
        <w:rPr>
          <w:color w:val="auto"/>
          <w:sz w:val="32"/>
          <w:szCs w:val="52"/>
        </w:rPr>
      </w:pPr>
      <w:bookmarkStart w:id="59" w:name="_Toc214374509"/>
      <w:bookmarkStart w:id="60" w:name="OLE_LINK21"/>
      <w:r>
        <w:rPr>
          <w:rFonts w:hint="eastAsia"/>
          <w:color w:val="auto"/>
          <w:sz w:val="32"/>
          <w:szCs w:val="52"/>
        </w:rPr>
        <w:t>五、</w:t>
      </w:r>
      <w:bookmarkStart w:id="61" w:name="_Hlk207834874"/>
      <w:r>
        <w:rPr>
          <w:rFonts w:hint="eastAsia"/>
          <w:color w:val="auto"/>
          <w:sz w:val="32"/>
          <w:szCs w:val="52"/>
        </w:rPr>
        <w:t>污染溯源</w:t>
      </w:r>
      <w:bookmarkEnd w:id="59"/>
      <w:bookmarkEnd w:id="61"/>
    </w:p>
    <w:bookmarkEnd w:id="60"/>
    <w:p>
      <w:pPr>
        <w:pStyle w:val="5"/>
        <w:spacing w:before="0" w:after="0"/>
        <w:ind w:firstLine="640"/>
        <w:rPr>
          <w:color w:val="auto"/>
        </w:rPr>
      </w:pPr>
      <w:bookmarkStart w:id="62" w:name="_Toc214374510"/>
      <w:r>
        <w:rPr>
          <w:rFonts w:hint="eastAsia"/>
          <w:color w:val="auto"/>
        </w:rPr>
        <w:t>（一）基础措施</w:t>
      </w:r>
      <w:bookmarkEnd w:id="62"/>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根据《重点监管单位土壤污染隐患排查指南（试行）》（生态环境部公告2021年第1号）和《深圳市土壤污染重点监管单位管理工作指引（试行）》（深环办〔2024</w:t>
      </w:r>
      <w:r>
        <w:rPr>
          <w:rFonts w:hint="eastAsia" w:ascii="仿宋_GB2312" w:hAnsi="仿宋_GB2312" w:cs="仿宋_GB2312"/>
          <w:sz w:val="32"/>
        </w:rPr>
        <w:t>〕</w:t>
      </w:r>
      <w:r>
        <w:rPr>
          <w:rFonts w:hint="eastAsia" w:ascii="仿宋_GB2312" w:hAnsi="仿宋_GB2312" w:cs="仿宋_GB2312"/>
          <w:sz w:val="32"/>
          <w:szCs w:val="32"/>
        </w:rPr>
        <w:t>118号）的要求，在原有排查的基础上提高综合排查、专项排查及日常巡查的频次。</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重点排查以下问题：</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1.位于地面的重点设备在发生渗漏、流失、扬散的情况下，是否具有防止污染物进入土壤的设施；</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2.是否掌握隐蔽性重点场所和重点设施设备（如地下储罐、接地储罐、地下管道、地下或半地下池体等）土壤污染预防设施性能参数；</w:t>
      </w:r>
    </w:p>
    <w:p>
      <w:pPr>
        <w:spacing w:after="0"/>
        <w:ind w:firstLine="640"/>
        <w:rPr>
          <w:rFonts w:ascii="Times New Roman" w:hAnsi="Times New Roman" w:cs="Times New Roman"/>
          <w:sz w:val="32"/>
          <w:szCs w:val="32"/>
        </w:rPr>
      </w:pPr>
      <w:r>
        <w:rPr>
          <w:rFonts w:hint="eastAsia" w:ascii="仿宋_GB2312" w:hAnsi="仿宋_GB2312" w:cs="仿宋_GB2312"/>
          <w:sz w:val="32"/>
          <w:szCs w:val="32"/>
        </w:rPr>
        <w:t>3.隐蔽性重点场所和重点设施设备是否达到设计性能参数</w:t>
      </w:r>
      <w:r>
        <w:rPr>
          <w:rFonts w:hint="eastAsia" w:ascii="Times New Roman" w:hAnsi="Times New Roman" w:cs="Times New Roman"/>
          <w:sz w:val="32"/>
          <w:szCs w:val="32"/>
        </w:rPr>
        <w:t>和有关标准要求；</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4.隐蔽性重点场所和重点设施设备是否落实土壤污染预防措施，有无相关落实记录，包括日常维护、防腐防渗检查（如采用闭水试验等泄漏检测技术核查是否存在土壤污染隐患）、阴极保护有效性检查等；</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5.土壤污染预防设施是否能有效防止隐蔽性重点场所和重点设施设备污染物泄漏、渗漏；</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6.隐蔽性重点场所和重点设施设备是否存在土壤污染隐患。</w:t>
      </w:r>
    </w:p>
    <w:p>
      <w:pPr>
        <w:pStyle w:val="5"/>
        <w:spacing w:before="0" w:after="0"/>
        <w:ind w:firstLine="640"/>
        <w:rPr>
          <w:color w:val="auto"/>
        </w:rPr>
      </w:pPr>
      <w:bookmarkStart w:id="63" w:name="_Toc214374511"/>
      <w:r>
        <w:rPr>
          <w:rFonts w:hint="eastAsia"/>
          <w:color w:val="auto"/>
        </w:rPr>
        <w:t>（二）强化措施</w:t>
      </w:r>
      <w:bookmarkEnd w:id="63"/>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可采取</w:t>
      </w:r>
      <w:bookmarkStart w:id="64" w:name="_Hlk207834918"/>
      <w:r>
        <w:rPr>
          <w:rFonts w:hint="eastAsia" w:ascii="仿宋_GB2312" w:hAnsi="仿宋_GB2312" w:cs="仿宋_GB2312"/>
          <w:sz w:val="32"/>
          <w:szCs w:val="32"/>
        </w:rPr>
        <w:t>渗漏检测手段或污染溯源分析手段</w:t>
      </w:r>
      <w:bookmarkEnd w:id="64"/>
      <w:r>
        <w:rPr>
          <w:rFonts w:hint="eastAsia" w:ascii="仿宋_GB2312" w:hAnsi="仿宋_GB2312" w:cs="仿宋_GB2312"/>
          <w:sz w:val="32"/>
          <w:szCs w:val="32"/>
        </w:rPr>
        <w:t>。</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1.渗漏检测手段</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重点对地下（或接地）储罐、地下管线（槽）、废水池、原材料及货物暂存区、废水收集和排放系统、废弃物贮存场及预处理区域，以及运行多年或存在老化、破损、裂缝的池体，生产区内有明显的未硬化地面及地面裂缝的区域，管道转角、接口、阀门、导淋等易发生物料渗漏的位置开展渗漏排查。常见的渗漏检测手段见表4。</w:t>
      </w:r>
    </w:p>
    <w:p>
      <w:pPr>
        <w:spacing w:after="0"/>
        <w:ind w:firstLine="0" w:firstLineChars="0"/>
        <w:jc w:val="center"/>
        <w:rPr>
          <w:rFonts w:hint="eastAsia" w:ascii="黑体" w:hAnsi="黑体" w:eastAsia="黑体" w:cs="黑体"/>
          <w:sz w:val="28"/>
          <w:szCs w:val="21"/>
        </w:rPr>
      </w:pPr>
      <w:r>
        <w:rPr>
          <w:rFonts w:hint="eastAsia" w:ascii="黑体" w:hAnsi="黑体" w:eastAsia="黑体" w:cs="黑体"/>
          <w:sz w:val="28"/>
          <w:szCs w:val="21"/>
        </w:rPr>
        <w:t>表4  常见的渗漏检测手段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72" w:type="dxa"/>
          </w:tcPr>
          <w:p>
            <w:pPr>
              <w:spacing w:after="0"/>
              <w:ind w:firstLine="0" w:firstLineChars="0"/>
              <w:jc w:val="center"/>
              <w:rPr>
                <w:rFonts w:ascii="Times New Roman" w:hAnsi="Times New Roman" w:eastAsia="黑体" w:cs="Times New Roman"/>
                <w:sz w:val="28"/>
                <w:szCs w:val="21"/>
              </w:rPr>
            </w:pPr>
            <w:r>
              <w:rPr>
                <w:rFonts w:hint="eastAsia" w:ascii="Times New Roman" w:hAnsi="Times New Roman" w:eastAsia="黑体" w:cs="Times New Roman"/>
                <w:sz w:val="28"/>
                <w:szCs w:val="21"/>
              </w:rPr>
              <w:t>排查对象</w:t>
            </w:r>
          </w:p>
        </w:tc>
        <w:tc>
          <w:tcPr>
            <w:tcW w:w="5324" w:type="dxa"/>
          </w:tcPr>
          <w:p>
            <w:pPr>
              <w:spacing w:after="0"/>
              <w:ind w:firstLine="0" w:firstLineChars="0"/>
              <w:jc w:val="center"/>
              <w:rPr>
                <w:rFonts w:ascii="Times New Roman" w:hAnsi="Times New Roman" w:eastAsia="黑体" w:cs="Times New Roman"/>
                <w:sz w:val="28"/>
                <w:szCs w:val="21"/>
              </w:rPr>
            </w:pPr>
            <w:r>
              <w:rPr>
                <w:rFonts w:hint="eastAsia" w:ascii="Times New Roman" w:hAnsi="Times New Roman" w:eastAsia="黑体" w:cs="Times New Roman"/>
                <w:sz w:val="28"/>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widowControl/>
              <w:spacing w:after="0"/>
              <w:ind w:firstLine="0" w:firstLineChars="0"/>
              <w:jc w:val="center"/>
              <w:rPr>
                <w:rFonts w:ascii="Times New Roman" w:hAnsi="Times New Roman" w:eastAsia="宋体" w:cs="Times New Roman"/>
                <w:kern w:val="0"/>
                <w:sz w:val="28"/>
                <w:szCs w:val="21"/>
              </w:rPr>
            </w:pPr>
            <w:r>
              <w:rPr>
                <w:rStyle w:val="53"/>
                <w:rFonts w:hint="eastAsia" w:ascii="Times New Roman" w:hAnsi="Times New Roman" w:cs="Times New Roman"/>
                <w:color w:val="auto"/>
                <w:sz w:val="28"/>
                <w:szCs w:val="21"/>
              </w:rPr>
              <w:t>埋地储罐</w:t>
            </w:r>
          </w:p>
        </w:tc>
        <w:tc>
          <w:tcPr>
            <w:tcW w:w="5324" w:type="dxa"/>
            <w:vAlign w:val="center"/>
          </w:tcPr>
          <w:p>
            <w:pPr>
              <w:widowControl/>
              <w:spacing w:after="0"/>
              <w:ind w:firstLine="0" w:firstLineChars="0"/>
              <w:rPr>
                <w:rFonts w:ascii="Times New Roman" w:hAnsi="Times New Roman" w:eastAsia="宋体" w:cs="Times New Roman"/>
                <w:kern w:val="0"/>
                <w:sz w:val="28"/>
                <w:szCs w:val="21"/>
              </w:rPr>
            </w:pPr>
            <w:r>
              <w:rPr>
                <w:rStyle w:val="53"/>
                <w:rFonts w:hint="eastAsia" w:ascii="Times New Roman" w:hAnsi="Times New Roman" w:cs="Times New Roman"/>
                <w:color w:val="auto"/>
                <w:sz w:val="28"/>
                <w:szCs w:val="21"/>
              </w:rPr>
              <w:t>检测立管检测、双层间隙气体、液体监测、漏磁检测、磁粉检测、水压泄漏试验、宏观检验、壁厚测定等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widowControl/>
              <w:spacing w:after="0"/>
              <w:ind w:firstLine="0" w:firstLineChars="0"/>
              <w:jc w:val="center"/>
              <w:rPr>
                <w:rFonts w:ascii="Times New Roman" w:hAnsi="Times New Roman" w:eastAsia="宋体" w:cs="Times New Roman"/>
                <w:kern w:val="0"/>
                <w:sz w:val="28"/>
                <w:szCs w:val="21"/>
              </w:rPr>
            </w:pPr>
            <w:r>
              <w:rPr>
                <w:rStyle w:val="53"/>
                <w:rFonts w:hint="eastAsia" w:ascii="Times New Roman" w:hAnsi="Times New Roman" w:cs="Times New Roman"/>
                <w:color w:val="auto"/>
                <w:sz w:val="28"/>
                <w:szCs w:val="21"/>
              </w:rPr>
              <w:t>接地储罐</w:t>
            </w:r>
          </w:p>
        </w:tc>
        <w:tc>
          <w:tcPr>
            <w:tcW w:w="5324" w:type="dxa"/>
            <w:vAlign w:val="center"/>
          </w:tcPr>
          <w:p>
            <w:pPr>
              <w:widowControl/>
              <w:spacing w:after="0"/>
              <w:ind w:firstLine="0" w:firstLineChars="0"/>
              <w:rPr>
                <w:rFonts w:ascii="Times New Roman" w:hAnsi="Times New Roman" w:eastAsia="宋体" w:cs="Times New Roman"/>
                <w:kern w:val="0"/>
                <w:sz w:val="28"/>
                <w:szCs w:val="21"/>
              </w:rPr>
            </w:pPr>
            <w:r>
              <w:rPr>
                <w:rStyle w:val="53"/>
                <w:rFonts w:hint="eastAsia" w:ascii="Times New Roman" w:hAnsi="Times New Roman" w:cs="Times New Roman"/>
                <w:color w:val="auto"/>
                <w:sz w:val="28"/>
                <w:szCs w:val="21"/>
              </w:rPr>
              <w:t>漏磁检测、磁粉检测、声发射检测、水压泄漏试验等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vAlign w:val="center"/>
          </w:tcPr>
          <w:p>
            <w:pPr>
              <w:widowControl/>
              <w:spacing w:after="0"/>
              <w:ind w:firstLine="0" w:firstLineChars="0"/>
              <w:jc w:val="center"/>
              <w:rPr>
                <w:rFonts w:ascii="Times New Roman" w:hAnsi="Times New Roman" w:eastAsia="宋体" w:cs="Times New Roman"/>
                <w:kern w:val="0"/>
                <w:sz w:val="28"/>
                <w:szCs w:val="21"/>
              </w:rPr>
            </w:pPr>
            <w:r>
              <w:rPr>
                <w:rStyle w:val="53"/>
                <w:rFonts w:hint="eastAsia" w:ascii="Times New Roman" w:hAnsi="Times New Roman" w:cs="Times New Roman"/>
                <w:color w:val="auto"/>
                <w:sz w:val="28"/>
                <w:szCs w:val="21"/>
              </w:rPr>
              <w:t>地下或者半地下池体</w:t>
            </w:r>
          </w:p>
        </w:tc>
        <w:tc>
          <w:tcPr>
            <w:tcW w:w="5324" w:type="dxa"/>
            <w:vAlign w:val="center"/>
          </w:tcPr>
          <w:p>
            <w:pPr>
              <w:widowControl/>
              <w:spacing w:after="0"/>
              <w:ind w:firstLine="0" w:firstLineChars="0"/>
              <w:rPr>
                <w:rFonts w:ascii="Times New Roman" w:hAnsi="Times New Roman" w:eastAsia="宋体" w:cs="Times New Roman"/>
                <w:kern w:val="0"/>
                <w:sz w:val="28"/>
                <w:szCs w:val="21"/>
              </w:rPr>
            </w:pPr>
            <w:r>
              <w:rPr>
                <w:rStyle w:val="53"/>
                <w:rFonts w:hint="eastAsia" w:ascii="Times New Roman" w:hAnsi="Times New Roman" w:cs="Times New Roman"/>
                <w:color w:val="auto"/>
                <w:sz w:val="28"/>
                <w:szCs w:val="21"/>
              </w:rPr>
              <w:t>满水试验、高密度电法等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widowControl/>
              <w:spacing w:after="0"/>
              <w:ind w:firstLine="0" w:firstLineChars="0"/>
              <w:jc w:val="center"/>
              <w:rPr>
                <w:rStyle w:val="53"/>
                <w:rFonts w:ascii="Times New Roman" w:hAnsi="Times New Roman" w:eastAsia="宋体" w:cs="Times New Roman"/>
                <w:color w:val="auto"/>
                <w:kern w:val="0"/>
                <w:sz w:val="28"/>
                <w:szCs w:val="21"/>
              </w:rPr>
            </w:pPr>
            <w:r>
              <w:rPr>
                <w:rStyle w:val="53"/>
                <w:rFonts w:hint="eastAsia" w:ascii="Times New Roman" w:hAnsi="Times New Roman" w:cs="Times New Roman"/>
                <w:color w:val="auto"/>
                <w:sz w:val="28"/>
                <w:szCs w:val="21"/>
              </w:rPr>
              <w:t>地下管道</w:t>
            </w:r>
          </w:p>
        </w:tc>
        <w:tc>
          <w:tcPr>
            <w:tcW w:w="5324" w:type="dxa"/>
            <w:vAlign w:val="center"/>
          </w:tcPr>
          <w:p>
            <w:pPr>
              <w:widowControl/>
              <w:spacing w:after="0"/>
              <w:ind w:firstLine="0" w:firstLineChars="0"/>
              <w:rPr>
                <w:rStyle w:val="53"/>
                <w:rFonts w:ascii="Times New Roman" w:hAnsi="Times New Roman" w:cs="Times New Roman"/>
                <w:color w:val="auto"/>
                <w:sz w:val="28"/>
                <w:szCs w:val="21"/>
              </w:rPr>
            </w:pPr>
            <w:r>
              <w:rPr>
                <w:rStyle w:val="53"/>
                <w:rFonts w:hint="eastAsia" w:ascii="Times New Roman" w:hAnsi="Times New Roman" w:cs="Times New Roman"/>
                <w:color w:val="auto"/>
                <w:sz w:val="28"/>
                <w:szCs w:val="21"/>
              </w:rPr>
              <w:t>电视检测、潜望镜、声呐检测、流量法、压力法、噪声法、宏观检验、壁厚测定等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widowControl/>
              <w:spacing w:after="0"/>
              <w:ind w:firstLine="0" w:firstLineChars="0"/>
              <w:jc w:val="center"/>
              <w:rPr>
                <w:rStyle w:val="53"/>
                <w:rFonts w:ascii="Times New Roman" w:hAnsi="Times New Roman" w:eastAsia="宋体" w:cs="Times New Roman"/>
                <w:color w:val="auto"/>
                <w:kern w:val="0"/>
                <w:sz w:val="28"/>
                <w:szCs w:val="21"/>
              </w:rPr>
            </w:pPr>
            <w:r>
              <w:rPr>
                <w:rStyle w:val="53"/>
                <w:rFonts w:hint="eastAsia" w:ascii="Times New Roman" w:hAnsi="Times New Roman" w:cs="Times New Roman"/>
                <w:color w:val="auto"/>
                <w:sz w:val="28"/>
                <w:szCs w:val="21"/>
              </w:rPr>
              <w:t>防渗阻隔设施</w:t>
            </w:r>
          </w:p>
        </w:tc>
        <w:tc>
          <w:tcPr>
            <w:tcW w:w="5324" w:type="dxa"/>
            <w:vAlign w:val="center"/>
          </w:tcPr>
          <w:p>
            <w:pPr>
              <w:widowControl/>
              <w:spacing w:after="0"/>
              <w:ind w:firstLine="0" w:firstLineChars="0"/>
              <w:rPr>
                <w:rStyle w:val="53"/>
                <w:rFonts w:ascii="Times New Roman" w:hAnsi="Times New Roman" w:cs="Times New Roman"/>
                <w:color w:val="auto"/>
                <w:sz w:val="28"/>
                <w:szCs w:val="21"/>
              </w:rPr>
            </w:pPr>
            <w:r>
              <w:rPr>
                <w:rStyle w:val="53"/>
                <w:rFonts w:hint="eastAsia" w:ascii="Times New Roman" w:hAnsi="Times New Roman" w:cs="Times New Roman"/>
                <w:color w:val="auto"/>
                <w:sz w:val="28"/>
                <w:szCs w:val="21"/>
              </w:rPr>
              <w:t>满水试验、玻璃仪器检测等</w:t>
            </w:r>
          </w:p>
        </w:tc>
      </w:tr>
    </w:tbl>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2.污染溯源分析手段</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根据</w:t>
      </w:r>
      <w:bookmarkStart w:id="65" w:name="OLE_LINK2"/>
      <w:r>
        <w:rPr>
          <w:rFonts w:hint="eastAsia" w:ascii="仿宋_GB2312" w:hAnsi="仿宋_GB2312" w:cs="仿宋_GB2312"/>
          <w:sz w:val="32"/>
          <w:szCs w:val="32"/>
        </w:rPr>
        <w:t>《地下水污染模拟预测评估工作指南》</w:t>
      </w:r>
      <w:bookmarkEnd w:id="65"/>
      <w:r>
        <w:rPr>
          <w:rFonts w:hint="eastAsia" w:ascii="仿宋_GB2312" w:hAnsi="仿宋_GB2312" w:cs="仿宋_GB2312"/>
          <w:sz w:val="32"/>
          <w:szCs w:val="32"/>
        </w:rPr>
        <w:t>（环土壤〔2019〕25号），选择合适的建模工具，结合水文地质调查资料进行地下水数字建模，包括地下水流场模型和溶质迁移模型。根据地下水模型使用广泛性和技术可行性，可采用美国地质调查局MODFLOW、MT3DMS构建地下水流场模型和溶质迁移模型，并与Browser/Server架构的软件系统相融合。</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溯源方法主要分为直接法、数值模拟优化法和概率统计方法。直接法中运用最常见的是反向追踪法，在已知当前地下水中污染物分布条件下，沿地下水流向的反方向，推求之前某个时间点的污染物分布，从而确定污染源位置；数值模拟优化法基于校正后的地下水污染迁移模型及优化算法理论，反向计算导致污染指标变化的途径和范围，通过匹配污染范围内的污染源信息库实现溯源。</w:t>
      </w:r>
    </w:p>
    <w:p>
      <w:pPr>
        <w:pStyle w:val="4"/>
        <w:spacing w:after="0" w:line="570" w:lineRule="exact"/>
        <w:ind w:firstLine="640"/>
        <w:rPr>
          <w:color w:val="auto"/>
          <w:sz w:val="32"/>
          <w:szCs w:val="52"/>
        </w:rPr>
      </w:pPr>
      <w:bookmarkStart w:id="66" w:name="_Toc214374512"/>
      <w:bookmarkStart w:id="67" w:name="_Hlk207835006"/>
      <w:r>
        <w:rPr>
          <w:rFonts w:hint="eastAsia"/>
          <w:color w:val="auto"/>
          <w:sz w:val="32"/>
          <w:szCs w:val="52"/>
        </w:rPr>
        <w:t>六、切断源头</w:t>
      </w:r>
      <w:bookmarkEnd w:id="66"/>
    </w:p>
    <w:bookmarkEnd w:id="67"/>
    <w:p>
      <w:pPr>
        <w:pStyle w:val="5"/>
        <w:spacing w:before="0" w:after="0"/>
        <w:ind w:firstLine="640"/>
        <w:rPr>
          <w:color w:val="auto"/>
        </w:rPr>
      </w:pPr>
      <w:bookmarkStart w:id="68" w:name="_Toc214374513"/>
      <w:r>
        <w:rPr>
          <w:rFonts w:hint="eastAsia"/>
          <w:color w:val="auto"/>
        </w:rPr>
        <w:t>（一）基础措施</w:t>
      </w:r>
      <w:bookmarkEnd w:id="68"/>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1.清洁生产改造</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淘汰有毒有害原辅材料或使用无毒、低毒原辅材料进行替代；采用先进生产工艺，降低资源的消耗，减少或避免污染物产生；加强原料、设备和环境等方面的管理，防止管道和设备泄漏。</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2.储罐与池体防渗</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建设符合要求的接地或离地储罐，替代原有埋地储罐；单层直埋埋地储罐增设防渗罐池；使用双层储罐替代原有单层直埋埋地储罐；采用管道集输方式，替代原有单层直埋埋地储罐。</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3.管道与输送系统防渗</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采用架空建设或地面敷设，建设符合要求的地上管道，替代原有地下管道；设置抗渗混凝土管沟、高密度聚乙烯（HDPE）膜防渗层或套管；采用非开挖修复技术，在原有地下管道内壁增设内衬防渗层，形成复合管；对地下钢制管道增设阴极保护系统。</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4.物料储存与转运优化</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对散装液体物料采用密闭式储存和转运系统，防止物料挥发和泄漏。在物料装卸区设置防滴漏设施和溢流保护装置，防止物料外溢。</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5.废水收集与处理升级</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建设符合要求的离地池体，替代地下、半地下或接地池体；修复原池体渗漏，在原有地下、半地下或接地池体设施内部设置储罐，构建具有二次防护性能的“池中罐”结构；采用内衬防渗技术，在原有地下、半地下或接地池体、污水井内部形成防渗层，构建具有二次防护性能的“池中池、井中井”结构；按照现行标准规范要求，对原有地下、半地下或接地池体、污水井进行拆除重建。</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6.污染迁移途径阻隔</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在未设置防渗地面的重点区域建设符合要求的地面防渗层；对裂缝、破损、腐蚀的地面防渗层进行拆除重建或在原防渗层的基础上新建符合要求的地面防渗层。</w:t>
      </w:r>
    </w:p>
    <w:p>
      <w:pPr>
        <w:pStyle w:val="5"/>
        <w:spacing w:before="0" w:after="0"/>
        <w:ind w:firstLine="640"/>
        <w:rPr>
          <w:color w:val="auto"/>
        </w:rPr>
      </w:pPr>
      <w:bookmarkStart w:id="69" w:name="_Toc214374514"/>
      <w:r>
        <w:rPr>
          <w:rFonts w:hint="eastAsia"/>
          <w:color w:val="auto"/>
        </w:rPr>
        <w:t>（二）强化措施</w:t>
      </w:r>
      <w:bookmarkEnd w:id="69"/>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1.清洁生产改造</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引入智能制造技术，如自动化投料系统、机器人清洗设备，减少人工操作导致的物料泄漏。</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2.储罐与池体防渗</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部署泄漏检测系统（如传感器、监测井），实时监控储罐和池体的渗漏情况。</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3.管道与输送系统防渗</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采用可视化管道输送系统，实时监控物料输送状态，减少泄漏风险；高风险管道进行双层设计，内层输送物料，外层用于泄漏检测和应急收集。</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4.物料储存与转运优化</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采用智能仓储系统，实时监控物料储存状态，自动预警异常情况（如温度、压力异常）。</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5.废水收集与处理升级</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采用“明管输送、实时监测”模式，确保废水全收集、全处理。</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6.污染迁移途径阻隔</w:t>
      </w:r>
    </w:p>
    <w:p>
      <w:pPr>
        <w:pStyle w:val="42"/>
        <w:spacing w:after="0"/>
        <w:ind w:left="0" w:firstLine="620"/>
        <w:contextualSpacing w:val="0"/>
        <w:rPr>
          <w:rFonts w:hint="eastAsia" w:ascii="仿宋_GB2312" w:hAnsi="仿宋_GB2312" w:cs="仿宋_GB2312"/>
          <w:spacing w:val="-5"/>
          <w:sz w:val="32"/>
          <w:szCs w:val="32"/>
        </w:rPr>
      </w:pPr>
      <w:r>
        <w:rPr>
          <w:rFonts w:hint="eastAsia" w:ascii="仿宋_GB2312" w:hAnsi="仿宋_GB2312" w:cs="仿宋_GB2312"/>
          <w:spacing w:val="-5"/>
          <w:sz w:val="32"/>
          <w:szCs w:val="32"/>
        </w:rPr>
        <w:t>采用纳米复合材料防渗膜，增强防渗性能和抗老化能力，延长使用寿命。部署智能防渗监测系统，实时监控防渗屏障的完整性和性能。</w:t>
      </w:r>
    </w:p>
    <w:p>
      <w:pPr>
        <w:pStyle w:val="4"/>
        <w:spacing w:after="0" w:line="570" w:lineRule="exact"/>
        <w:ind w:firstLine="640"/>
        <w:rPr>
          <w:color w:val="auto"/>
          <w:sz w:val="32"/>
          <w:szCs w:val="52"/>
        </w:rPr>
      </w:pPr>
      <w:bookmarkStart w:id="70" w:name="_Toc214374515"/>
      <w:r>
        <w:rPr>
          <w:rFonts w:hint="eastAsia"/>
          <w:color w:val="auto"/>
          <w:sz w:val="32"/>
          <w:szCs w:val="52"/>
        </w:rPr>
        <w:t>七、</w:t>
      </w:r>
      <w:bookmarkStart w:id="71" w:name="_Hlk207835085"/>
      <w:r>
        <w:rPr>
          <w:rFonts w:hint="eastAsia"/>
          <w:color w:val="auto"/>
          <w:sz w:val="32"/>
          <w:szCs w:val="52"/>
        </w:rPr>
        <w:t>管控修复</w:t>
      </w:r>
      <w:bookmarkEnd w:id="70"/>
    </w:p>
    <w:bookmarkEnd w:id="71"/>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针对土壤或地下水特征污染物超标倍数较大，或有迁移扩散出厂界的情形，根据土壤和地下水污染特征、区域地质和水文地质条件、管控目标、管控范围、管控周期和成本，选择确定管控修复措施，包括基础措施和强化措施，具体见表5。</w:t>
      </w:r>
    </w:p>
    <w:p>
      <w:pPr>
        <w:spacing w:after="0"/>
        <w:ind w:firstLine="0" w:firstLineChars="0"/>
        <w:jc w:val="center"/>
        <w:rPr>
          <w:rFonts w:hint="eastAsia" w:ascii="黑体" w:hAnsi="黑体" w:eastAsia="黑体" w:cs="黑体"/>
          <w:sz w:val="28"/>
          <w:szCs w:val="21"/>
        </w:rPr>
      </w:pPr>
      <w:r>
        <w:rPr>
          <w:rFonts w:hint="eastAsia" w:ascii="黑体" w:hAnsi="黑体" w:eastAsia="黑体" w:cs="黑体"/>
          <w:sz w:val="28"/>
          <w:szCs w:val="21"/>
        </w:rPr>
        <w:t>表5  管控修复措施</w:t>
      </w:r>
    </w:p>
    <w:tbl>
      <w:tblPr>
        <w:tblStyle w:val="24"/>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3108"/>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blHeader/>
          <w:jc w:val="center"/>
        </w:trPr>
        <w:tc>
          <w:tcPr>
            <w:tcW w:w="1707" w:type="dxa"/>
            <w:vAlign w:val="center"/>
          </w:tcPr>
          <w:p>
            <w:pPr>
              <w:spacing w:after="0"/>
              <w:ind w:firstLine="0" w:firstLineChars="0"/>
              <w:jc w:val="center"/>
              <w:rPr>
                <w:rFonts w:hint="eastAsia" w:ascii="黑体" w:hAnsi="黑体" w:eastAsia="黑体" w:cs="黑体"/>
                <w:b w:val="0"/>
                <w:bCs w:val="0"/>
                <w:kern w:val="0"/>
                <w:sz w:val="28"/>
                <w:szCs w:val="18"/>
              </w:rPr>
            </w:pPr>
            <w:r>
              <w:rPr>
                <w:rFonts w:hint="eastAsia" w:ascii="黑体" w:hAnsi="黑体" w:eastAsia="黑体" w:cs="黑体"/>
                <w:b w:val="0"/>
                <w:bCs w:val="0"/>
                <w:kern w:val="0"/>
                <w:sz w:val="28"/>
                <w:szCs w:val="18"/>
              </w:rPr>
              <w:t>类别</w:t>
            </w:r>
          </w:p>
        </w:tc>
        <w:tc>
          <w:tcPr>
            <w:tcW w:w="3108" w:type="dxa"/>
            <w:vAlign w:val="center"/>
          </w:tcPr>
          <w:p>
            <w:pPr>
              <w:spacing w:after="0"/>
              <w:ind w:firstLine="0" w:firstLineChars="0"/>
              <w:jc w:val="center"/>
              <w:rPr>
                <w:rFonts w:hint="eastAsia" w:ascii="黑体" w:hAnsi="黑体" w:eastAsia="黑体" w:cs="黑体"/>
                <w:b w:val="0"/>
                <w:bCs w:val="0"/>
                <w:kern w:val="0"/>
                <w:sz w:val="28"/>
                <w:szCs w:val="18"/>
              </w:rPr>
            </w:pPr>
            <w:r>
              <w:rPr>
                <w:rFonts w:hint="eastAsia" w:ascii="黑体" w:hAnsi="黑体" w:eastAsia="黑体" w:cs="黑体"/>
                <w:b w:val="0"/>
                <w:bCs w:val="0"/>
                <w:kern w:val="0"/>
                <w:sz w:val="28"/>
                <w:szCs w:val="18"/>
              </w:rPr>
              <w:t>保护人体健康</w:t>
            </w:r>
          </w:p>
        </w:tc>
        <w:tc>
          <w:tcPr>
            <w:tcW w:w="3551" w:type="dxa"/>
            <w:vAlign w:val="center"/>
          </w:tcPr>
          <w:p>
            <w:pPr>
              <w:spacing w:after="0"/>
              <w:ind w:firstLine="0" w:firstLineChars="0"/>
              <w:jc w:val="center"/>
              <w:rPr>
                <w:rFonts w:hint="eastAsia" w:ascii="黑体" w:hAnsi="黑体" w:eastAsia="黑体" w:cs="黑体"/>
                <w:b w:val="0"/>
                <w:bCs w:val="0"/>
                <w:kern w:val="0"/>
                <w:sz w:val="28"/>
                <w:szCs w:val="18"/>
              </w:rPr>
            </w:pPr>
            <w:r>
              <w:rPr>
                <w:rFonts w:hint="eastAsia" w:ascii="黑体" w:hAnsi="黑体" w:eastAsia="黑体" w:cs="黑体"/>
                <w:b w:val="0"/>
                <w:bCs w:val="0"/>
                <w:kern w:val="0"/>
                <w:sz w:val="28"/>
                <w:szCs w:val="18"/>
              </w:rPr>
              <w:t>保护周边环境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707" w:type="dxa"/>
            <w:vAlign w:val="center"/>
          </w:tcPr>
          <w:p>
            <w:pPr>
              <w:spacing w:after="0"/>
              <w:ind w:firstLine="0" w:firstLineChars="0"/>
              <w:jc w:val="center"/>
              <w:rPr>
                <w:rFonts w:hint="eastAsia" w:ascii="仿宋_GB2312" w:hAnsi="仿宋_GB2312" w:cs="仿宋_GB2312"/>
                <w:kern w:val="0"/>
                <w:sz w:val="28"/>
                <w:szCs w:val="18"/>
              </w:rPr>
            </w:pPr>
            <w:r>
              <w:rPr>
                <w:rFonts w:hint="eastAsia" w:ascii="仿宋_GB2312" w:hAnsi="仿宋_GB2312" w:cs="仿宋_GB2312"/>
                <w:kern w:val="0"/>
                <w:sz w:val="28"/>
                <w:szCs w:val="18"/>
              </w:rPr>
              <w:t>基础措施</w:t>
            </w:r>
          </w:p>
        </w:tc>
        <w:tc>
          <w:tcPr>
            <w:tcW w:w="3108" w:type="dxa"/>
            <w:vAlign w:val="center"/>
          </w:tcPr>
          <w:p>
            <w:pPr>
              <w:spacing w:after="0"/>
              <w:ind w:firstLine="0" w:firstLineChars="0"/>
              <w:rPr>
                <w:rFonts w:hint="eastAsia" w:ascii="仿宋_GB2312" w:hAnsi="仿宋_GB2312" w:cs="仿宋_GB2312"/>
                <w:kern w:val="0"/>
                <w:sz w:val="28"/>
                <w:szCs w:val="18"/>
              </w:rPr>
            </w:pPr>
            <w:r>
              <w:rPr>
                <w:rFonts w:hint="eastAsia" w:ascii="仿宋_GB2312" w:hAnsi="仿宋_GB2312" w:cs="仿宋_GB2312"/>
                <w:kern w:val="0"/>
                <w:sz w:val="28"/>
                <w:szCs w:val="18"/>
              </w:rPr>
              <w:t>管控：制度控制、水平阻隔等</w:t>
            </w:r>
          </w:p>
        </w:tc>
        <w:tc>
          <w:tcPr>
            <w:tcW w:w="3551" w:type="dxa"/>
            <w:vAlign w:val="center"/>
          </w:tcPr>
          <w:p>
            <w:pPr>
              <w:spacing w:after="0"/>
              <w:ind w:firstLine="0" w:firstLineChars="0"/>
              <w:rPr>
                <w:rFonts w:hint="eastAsia" w:ascii="仿宋_GB2312" w:hAnsi="仿宋_GB2312" w:cs="仿宋_GB2312"/>
                <w:kern w:val="0"/>
                <w:sz w:val="28"/>
                <w:szCs w:val="18"/>
              </w:rPr>
            </w:pPr>
            <w:r>
              <w:rPr>
                <w:rFonts w:hint="eastAsia" w:ascii="仿宋_GB2312" w:hAnsi="仿宋_GB2312" w:cs="仿宋_GB2312"/>
                <w:kern w:val="0"/>
                <w:sz w:val="28"/>
                <w:szCs w:val="18"/>
              </w:rPr>
              <w:t>管控：水力控制、垂直阻隔等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707" w:type="dxa"/>
            <w:vAlign w:val="center"/>
          </w:tcPr>
          <w:p>
            <w:pPr>
              <w:spacing w:after="0"/>
              <w:ind w:firstLine="0" w:firstLineChars="0"/>
              <w:jc w:val="center"/>
              <w:rPr>
                <w:rFonts w:hint="eastAsia" w:ascii="仿宋_GB2312" w:hAnsi="仿宋_GB2312" w:cs="仿宋_GB2312"/>
                <w:kern w:val="0"/>
                <w:sz w:val="28"/>
                <w:szCs w:val="18"/>
              </w:rPr>
            </w:pPr>
            <w:r>
              <w:rPr>
                <w:rFonts w:hint="eastAsia" w:ascii="仿宋_GB2312" w:hAnsi="仿宋_GB2312" w:cs="仿宋_GB2312"/>
                <w:kern w:val="0"/>
                <w:sz w:val="28"/>
                <w:szCs w:val="18"/>
              </w:rPr>
              <w:t>强化措施</w:t>
            </w:r>
          </w:p>
        </w:tc>
        <w:tc>
          <w:tcPr>
            <w:tcW w:w="3108" w:type="dxa"/>
            <w:vAlign w:val="center"/>
          </w:tcPr>
          <w:p>
            <w:pPr>
              <w:spacing w:after="0"/>
              <w:ind w:firstLine="0" w:firstLineChars="0"/>
              <w:rPr>
                <w:rFonts w:hint="eastAsia" w:ascii="仿宋_GB2312" w:hAnsi="仿宋_GB2312" w:cs="仿宋_GB2312"/>
                <w:kern w:val="0"/>
                <w:sz w:val="28"/>
                <w:szCs w:val="18"/>
              </w:rPr>
            </w:pPr>
            <w:r>
              <w:rPr>
                <w:rFonts w:hint="eastAsia" w:ascii="仿宋_GB2312" w:hAnsi="仿宋_GB2312" w:cs="仿宋_GB2312"/>
                <w:kern w:val="0"/>
                <w:sz w:val="28"/>
                <w:szCs w:val="18"/>
              </w:rPr>
              <w:t>修复：清挖处置、抽出处理、化学氧化还原、气相/多相抽提等</w:t>
            </w:r>
          </w:p>
        </w:tc>
        <w:tc>
          <w:tcPr>
            <w:tcW w:w="3551" w:type="dxa"/>
            <w:vAlign w:val="center"/>
          </w:tcPr>
          <w:p>
            <w:pPr>
              <w:spacing w:after="0"/>
              <w:ind w:firstLine="0" w:firstLineChars="0"/>
              <w:rPr>
                <w:rFonts w:hint="eastAsia" w:ascii="仿宋_GB2312" w:hAnsi="仿宋_GB2312" w:cs="仿宋_GB2312"/>
                <w:kern w:val="0"/>
                <w:sz w:val="28"/>
                <w:szCs w:val="18"/>
              </w:rPr>
            </w:pPr>
            <w:r>
              <w:rPr>
                <w:rFonts w:hint="eastAsia" w:ascii="仿宋_GB2312" w:hAnsi="仿宋_GB2312" w:cs="仿宋_GB2312"/>
                <w:kern w:val="0"/>
                <w:sz w:val="28"/>
                <w:szCs w:val="18"/>
              </w:rPr>
              <w:t>修复：清挖处置、抽出处理、化学氧化还原、气相/多相抽提、可渗透反应墙、强化生物修复等</w:t>
            </w:r>
          </w:p>
        </w:tc>
      </w:tr>
    </w:tbl>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具体技术方法可参照《建设用地土壤修复技术导则》（HJ 25.4）、《污染地块地下水修复和风险管控技术导则》（HJ 25.6）和《地下水污染修复（防控）工作指南（试行）》（环办〔2014〕99号）。</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管控修复工程实施前，</w:t>
      </w:r>
      <w:r>
        <w:rPr>
          <w:rFonts w:hint="eastAsia" w:ascii="仿宋_GB2312" w:hAnsi="仿宋_GB2312" w:cs="仿宋_GB2312"/>
          <w:spacing w:val="12"/>
          <w:sz w:val="32"/>
          <w:szCs w:val="32"/>
        </w:rPr>
        <w:t>重点监管单位</w:t>
      </w:r>
      <w:r>
        <w:rPr>
          <w:rFonts w:hint="eastAsia" w:ascii="仿宋_GB2312" w:hAnsi="仿宋_GB2312" w:cs="仿宋_GB2312"/>
          <w:sz w:val="32"/>
          <w:szCs w:val="32"/>
        </w:rPr>
        <w:t>应制定方案并建议自行组织专家评审，方案内容包含：分析工程实施的环境影响，根据管控修复工艺过程产生的废水、废气、固体废物、噪声、扬尘等环境影响，制定相关的收集、处理和处置技术方案，落实相关环保措施，采取二次污染防范措施，防止边治理边污染。</w:t>
      </w:r>
    </w:p>
    <w:p>
      <w:pPr>
        <w:spacing w:after="0"/>
        <w:ind w:firstLine="640"/>
        <w:rPr>
          <w:rFonts w:ascii="Times New Roman" w:hAnsi="Times New Roman" w:cs="Times New Roman"/>
          <w:sz w:val="32"/>
          <w:szCs w:val="32"/>
        </w:rPr>
      </w:pPr>
      <w:r>
        <w:rPr>
          <w:rFonts w:hint="eastAsia" w:ascii="仿宋_GB2312" w:hAnsi="仿宋_GB2312" w:cs="仿宋_GB2312"/>
          <w:sz w:val="32"/>
          <w:szCs w:val="32"/>
        </w:rPr>
        <w:t>为确保管控修复工程实施过程中人员安全，</w:t>
      </w:r>
      <w:r>
        <w:rPr>
          <w:rFonts w:hint="eastAsia" w:ascii="仿宋_GB2312" w:hAnsi="仿宋_GB2312" w:cs="仿宋_GB2312"/>
          <w:spacing w:val="12"/>
          <w:sz w:val="32"/>
          <w:szCs w:val="32"/>
        </w:rPr>
        <w:t>重点监管单位</w:t>
      </w:r>
      <w:r>
        <w:rPr>
          <w:rFonts w:hint="eastAsia" w:ascii="仿宋_GB2312" w:hAnsi="仿宋_GB2312" w:cs="仿宋_GB2312"/>
          <w:sz w:val="32"/>
          <w:szCs w:val="32"/>
        </w:rPr>
        <w:t>应结合生产情况制定周密的环境应急安全计划，针对识别出的安全问题，采取安全预防措施，配备必须的安全防护装备，组织开展安全防护培训，并准备突发事故时的应急措施，避免安全事</w:t>
      </w:r>
      <w:r>
        <w:rPr>
          <w:rFonts w:hint="eastAsia" w:ascii="Times New Roman" w:hAnsi="Times New Roman" w:cs="Times New Roman"/>
          <w:sz w:val="32"/>
          <w:szCs w:val="32"/>
        </w:rPr>
        <w:t>故。</w:t>
      </w:r>
    </w:p>
    <w:p>
      <w:pPr>
        <w:pStyle w:val="4"/>
        <w:spacing w:after="0" w:line="570" w:lineRule="exact"/>
        <w:ind w:firstLine="640"/>
        <w:rPr>
          <w:color w:val="auto"/>
          <w:sz w:val="32"/>
          <w:szCs w:val="52"/>
        </w:rPr>
      </w:pPr>
      <w:bookmarkStart w:id="72" w:name="_Toc214374516"/>
      <w:r>
        <w:rPr>
          <w:rFonts w:hint="eastAsia"/>
          <w:color w:val="auto"/>
          <w:sz w:val="32"/>
          <w:szCs w:val="52"/>
        </w:rPr>
        <w:t>八、</w:t>
      </w:r>
      <w:bookmarkStart w:id="73" w:name="_Hlk207835143"/>
      <w:r>
        <w:rPr>
          <w:rFonts w:hint="eastAsia"/>
          <w:color w:val="auto"/>
          <w:sz w:val="32"/>
          <w:szCs w:val="52"/>
        </w:rPr>
        <w:t>效果评估</w:t>
      </w:r>
      <w:bookmarkEnd w:id="72"/>
      <w:bookmarkEnd w:id="73"/>
    </w:p>
    <w:p>
      <w:pPr>
        <w:pStyle w:val="5"/>
        <w:spacing w:before="0" w:after="0"/>
        <w:ind w:firstLine="640" w:firstLineChars="200"/>
        <w:rPr>
          <w:color w:val="auto"/>
        </w:rPr>
      </w:pPr>
      <w:bookmarkStart w:id="74" w:name="_Toc214374517"/>
      <w:r>
        <w:rPr>
          <w:rFonts w:hint="eastAsia"/>
          <w:color w:val="auto"/>
        </w:rPr>
        <w:t>（一）总体目标</w:t>
      </w:r>
      <w:bookmarkEnd w:id="74"/>
    </w:p>
    <w:p>
      <w:pPr>
        <w:spacing w:after="0"/>
        <w:ind w:firstLine="640"/>
        <w:rPr>
          <w:rFonts w:hint="eastAsia" w:ascii="仿宋_GB2312" w:hAnsi="仿宋_GB2312" w:cs="仿宋_GB2312"/>
          <w:sz w:val="32"/>
          <w:szCs w:val="32"/>
        </w:rPr>
      </w:pPr>
      <w:bookmarkStart w:id="75" w:name="OLE_LINK31"/>
      <w:r>
        <w:rPr>
          <w:rFonts w:hint="eastAsia" w:ascii="仿宋_GB2312" w:hAnsi="仿宋_GB2312" w:cs="仿宋_GB2312"/>
          <w:sz w:val="32"/>
          <w:szCs w:val="32"/>
        </w:rPr>
        <w:t>按照土壤和地下水污染风险与环境质量管理的思路，统筹考虑基于实际暴露情景的人体健康风险和地下水污染扩散的环境风险，确定总体目标（具体包括近期、中、远期目标），保证边生产边管控后，员工健康和周边环境风险为可接受水平。</w:t>
      </w:r>
      <w:bookmarkEnd w:id="75"/>
      <w:r>
        <w:rPr>
          <w:rFonts w:hint="eastAsia" w:ascii="仿宋_GB2312" w:hAnsi="仿宋_GB2312" w:cs="仿宋_GB2312"/>
          <w:sz w:val="32"/>
          <w:szCs w:val="32"/>
        </w:rPr>
        <w:t>重点监管单位可结合自身环境风险等级和管控要求，根据近期、中、远期目标的完成情况，自行组织开展阶段性效果评估。</w:t>
      </w:r>
    </w:p>
    <w:p>
      <w:pPr>
        <w:pStyle w:val="42"/>
        <w:spacing w:after="0"/>
        <w:ind w:left="0" w:firstLine="640"/>
        <w:contextualSpacing w:val="0"/>
        <w:rPr>
          <w:rFonts w:hint="eastAsia" w:ascii="仿宋_GB2312" w:hAnsi="仿宋_GB2312" w:cs="仿宋_GB2312"/>
          <w:sz w:val="32"/>
          <w:szCs w:val="32"/>
        </w:rPr>
      </w:pPr>
      <w:r>
        <w:rPr>
          <w:rFonts w:hint="eastAsia" w:ascii="仿宋_GB2312" w:hAnsi="仿宋_GB2312" w:cs="仿宋_GB2312"/>
          <w:sz w:val="32"/>
          <w:szCs w:val="32"/>
        </w:rPr>
        <w:t>1.近期目标：对已扩散出厂界的，立即控制现有范围不进一步扩大；对尚未扩散出厂界的，确保污染羽不进一步扩散出厂界。</w:t>
      </w:r>
    </w:p>
    <w:p>
      <w:pPr>
        <w:pStyle w:val="42"/>
        <w:spacing w:after="0"/>
        <w:ind w:left="0" w:firstLine="640"/>
        <w:contextualSpacing w:val="0"/>
        <w:rPr>
          <w:rFonts w:hint="eastAsia" w:ascii="仿宋_GB2312" w:hAnsi="仿宋_GB2312" w:cs="仿宋_GB2312"/>
          <w:sz w:val="32"/>
          <w:szCs w:val="32"/>
        </w:rPr>
      </w:pPr>
      <w:r>
        <w:rPr>
          <w:rFonts w:hint="eastAsia" w:ascii="仿宋_GB2312" w:hAnsi="仿宋_GB2312" w:cs="仿宋_GB2312"/>
          <w:sz w:val="32"/>
          <w:szCs w:val="32"/>
        </w:rPr>
        <w:t>2.中期目标：在2-3年内土壤和地下水特征污染物</w:t>
      </w:r>
      <w:r>
        <w:rPr>
          <w:rFonts w:hint="eastAsia" w:ascii="仿宋_GB2312" w:hAnsi="仿宋_GB2312" w:cs="仿宋_GB2312"/>
          <w:spacing w:val="5"/>
          <w:sz w:val="32"/>
          <w:szCs w:val="32"/>
        </w:rPr>
        <w:t>含量</w:t>
      </w:r>
      <w:r>
        <w:rPr>
          <w:rFonts w:hint="eastAsia" w:ascii="仿宋_GB2312" w:hAnsi="仿宋_GB2312" w:cs="仿宋_GB2312"/>
          <w:sz w:val="32"/>
          <w:szCs w:val="32"/>
        </w:rPr>
        <w:t>显著下降，地下水污染羽的范围显著减小。</w:t>
      </w:r>
    </w:p>
    <w:p>
      <w:pPr>
        <w:pStyle w:val="42"/>
        <w:spacing w:after="0"/>
        <w:ind w:left="0" w:firstLine="640"/>
        <w:contextualSpacing w:val="0"/>
        <w:rPr>
          <w:rFonts w:hint="eastAsia" w:ascii="仿宋_GB2312" w:hAnsi="仿宋_GB2312" w:cs="仿宋_GB2312"/>
          <w:sz w:val="32"/>
          <w:szCs w:val="32"/>
        </w:rPr>
      </w:pPr>
      <w:r>
        <w:rPr>
          <w:rFonts w:hint="eastAsia" w:ascii="仿宋_GB2312" w:hAnsi="仿宋_GB2312" w:cs="仿宋_GB2312"/>
          <w:sz w:val="32"/>
          <w:szCs w:val="32"/>
        </w:rPr>
        <w:t>3.远期目标：在终止生产经营活动前，土壤环境质量满足《土壤环境质量 建设用地土壤污染风险管控标准（试行）》（GB 36600）第二类用地筛选值，地下水环境质量满足《地下水质量标准》（GB/T 14848）IV类标准。</w:t>
      </w:r>
    </w:p>
    <w:p>
      <w:pPr>
        <w:pStyle w:val="5"/>
        <w:spacing w:before="0" w:after="0"/>
        <w:ind w:firstLine="640"/>
        <w:rPr>
          <w:color w:val="auto"/>
        </w:rPr>
      </w:pPr>
      <w:bookmarkStart w:id="76" w:name="_Toc214374518"/>
      <w:r>
        <w:rPr>
          <w:rFonts w:hint="eastAsia"/>
          <w:color w:val="auto"/>
        </w:rPr>
        <w:t>（二）</w:t>
      </w:r>
      <w:r>
        <w:rPr>
          <w:rFonts w:hint="eastAsia" w:cs="Times New Roman"/>
          <w:color w:val="auto"/>
          <w:szCs w:val="32"/>
        </w:rPr>
        <w:t>近期目标效果评估</w:t>
      </w:r>
      <w:bookmarkEnd w:id="76"/>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采取措施后，遏制土壤和地下水污染加重和扩散趋势。重点场所或者重点设施设备未再出现跑冒滴漏现象、地面没有污染持续的痕迹；阻隔介质设置无缺项且保持有效状态，地面防渗措施良好，地面没有污染持续的痕迹。</w:t>
      </w:r>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对完成改造的储罐、池体、管道、重点区域地面、围堰等重点场所和设施设备开展渗漏检测，评估工程防渗性能。工程性能评估包括抗压强度、渗透性能、阻隔性能、工程设施连续性与完整性等。渗漏检测方法可参照表4。</w:t>
      </w:r>
    </w:p>
    <w:p>
      <w:pPr>
        <w:pStyle w:val="5"/>
        <w:spacing w:before="0" w:after="0"/>
        <w:ind w:firstLine="640"/>
        <w:rPr>
          <w:color w:val="auto"/>
        </w:rPr>
      </w:pPr>
      <w:bookmarkStart w:id="77" w:name="_Toc214374519"/>
      <w:r>
        <w:rPr>
          <w:rFonts w:hint="eastAsia"/>
          <w:color w:val="auto"/>
        </w:rPr>
        <w:t>（三）中期目标效果评估</w:t>
      </w:r>
      <w:bookmarkEnd w:id="77"/>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在完成近期目标后，可结合土壤和地下水自行监测工作开展。监测频次和监测指标与自行监测保持一致并符合 HJ 1209 的有关要求，避免重复监测。监测效果评估时间不少于2年。如连续2年监测周期内，各土壤监测点位的</w:t>
      </w:r>
      <w:r>
        <w:rPr>
          <w:rFonts w:hint="eastAsia" w:ascii="仿宋_GB2312" w:hAnsi="仿宋_GB2312" w:cs="仿宋_GB2312"/>
          <w:spacing w:val="12"/>
          <w:sz w:val="32"/>
          <w:szCs w:val="32"/>
        </w:rPr>
        <w:t>特征污染物</w:t>
      </w:r>
      <w:r>
        <w:rPr>
          <w:rFonts w:hint="eastAsia" w:ascii="仿宋_GB2312" w:hAnsi="仿宋_GB2312" w:cs="仿宋_GB2312"/>
          <w:sz w:val="32"/>
          <w:szCs w:val="32"/>
        </w:rPr>
        <w:t>均未出现累积；各地下水监测点位</w:t>
      </w:r>
      <w:r>
        <w:rPr>
          <w:rFonts w:hint="eastAsia" w:ascii="仿宋_GB2312" w:hAnsi="仿宋_GB2312" w:cs="仿宋_GB2312"/>
          <w:spacing w:val="12"/>
          <w:sz w:val="32"/>
          <w:szCs w:val="32"/>
        </w:rPr>
        <w:t>特征污染物浓度</w:t>
      </w:r>
      <w:r>
        <w:rPr>
          <w:rFonts w:hint="eastAsia" w:ascii="仿宋_GB2312" w:hAnsi="仿宋_GB2312" w:cs="仿宋_GB2312"/>
          <w:sz w:val="32"/>
          <w:szCs w:val="32"/>
        </w:rPr>
        <w:t>未出现较前次监测值升高30%以上，或连续4次以上监测</w:t>
      </w:r>
      <w:r>
        <w:rPr>
          <w:rFonts w:hint="eastAsia" w:ascii="仿宋_GB2312" w:hAnsi="仿宋_GB2312" w:cs="仿宋_GB2312"/>
          <w:spacing w:val="5"/>
          <w:sz w:val="32"/>
          <w:szCs w:val="32"/>
        </w:rPr>
        <w:t>含量</w:t>
      </w:r>
      <w:r>
        <w:rPr>
          <w:rFonts w:hint="eastAsia" w:ascii="仿宋_GB2312" w:hAnsi="仿宋_GB2312" w:cs="仿宋_GB2312"/>
          <w:sz w:val="32"/>
          <w:szCs w:val="32"/>
        </w:rPr>
        <w:t>未呈现上升趋势等现象，可认为达到</w:t>
      </w:r>
      <w:r>
        <w:rPr>
          <w:rFonts w:hint="eastAsia" w:ascii="仿宋_GB2312" w:hAnsi="仿宋_GB2312" w:cs="仿宋_GB2312"/>
          <w:sz w:val="32"/>
          <w:szCs w:val="40"/>
        </w:rPr>
        <w:t>中期目标。</w:t>
      </w:r>
    </w:p>
    <w:p>
      <w:pPr>
        <w:pStyle w:val="5"/>
        <w:spacing w:before="0" w:after="0"/>
        <w:ind w:firstLine="640"/>
        <w:rPr>
          <w:color w:val="auto"/>
        </w:rPr>
      </w:pPr>
      <w:bookmarkStart w:id="78" w:name="_Toc214374520"/>
      <w:r>
        <w:rPr>
          <w:rFonts w:hint="eastAsia"/>
          <w:color w:val="auto"/>
        </w:rPr>
        <w:t>（四）</w:t>
      </w:r>
      <w:bookmarkStart w:id="79" w:name="_Hlk205917806"/>
      <w:r>
        <w:rPr>
          <w:rFonts w:hint="eastAsia"/>
          <w:color w:val="auto"/>
        </w:rPr>
        <w:t>远期目标效果评估</w:t>
      </w:r>
      <w:bookmarkEnd w:id="78"/>
      <w:bookmarkEnd w:id="79"/>
    </w:p>
    <w:p>
      <w:pPr>
        <w:spacing w:after="0"/>
        <w:ind w:firstLine="640"/>
        <w:rPr>
          <w:rFonts w:hint="eastAsia" w:ascii="仿宋_GB2312" w:hAnsi="仿宋_GB2312" w:cs="仿宋_GB2312"/>
          <w:sz w:val="32"/>
          <w:szCs w:val="32"/>
        </w:rPr>
      </w:pPr>
      <w:r>
        <w:rPr>
          <w:rFonts w:hint="eastAsia" w:ascii="仿宋_GB2312" w:hAnsi="仿宋_GB2312" w:cs="仿宋_GB2312"/>
          <w:sz w:val="32"/>
          <w:szCs w:val="32"/>
        </w:rPr>
        <w:t>风险管控或修复工程施工完成后，</w:t>
      </w:r>
      <w:bookmarkStart w:id="80" w:name="_Hlk205918191"/>
      <w:r>
        <w:rPr>
          <w:rFonts w:hint="eastAsia" w:ascii="仿宋_GB2312" w:hAnsi="仿宋_GB2312" w:cs="仿宋_GB2312"/>
          <w:sz w:val="32"/>
          <w:szCs w:val="32"/>
        </w:rPr>
        <w:t>重点监管单位</w:t>
      </w:r>
      <w:r>
        <w:rPr>
          <w:rFonts w:hint="eastAsia" w:ascii="仿宋_GB2312" w:hAnsi="仿宋_GB2312" w:cs="仿宋_GB2312"/>
          <w:sz w:val="32"/>
          <w:szCs w:val="24"/>
        </w:rPr>
        <w:t>可委托专业技术机构</w:t>
      </w:r>
      <w:r>
        <w:rPr>
          <w:rFonts w:hint="eastAsia" w:ascii="仿宋_GB2312" w:hAnsi="仿宋_GB2312" w:cs="仿宋_GB2312"/>
          <w:sz w:val="32"/>
          <w:szCs w:val="32"/>
        </w:rPr>
        <w:t>开展风险管控或修复效果评估</w:t>
      </w:r>
      <w:bookmarkEnd w:id="80"/>
      <w:r>
        <w:rPr>
          <w:rFonts w:hint="eastAsia" w:ascii="仿宋_GB2312" w:hAnsi="仿宋_GB2312" w:cs="仿宋_GB2312"/>
          <w:sz w:val="32"/>
          <w:szCs w:val="32"/>
        </w:rPr>
        <w:t>，评价工程是否达到预期效果，工作流程和评价方法可参照《污染地块风险管控与土壤修复效果评估技术导则（试行）》（HJ 25.5）和《污染地块地下水修复和风险管控技术导则》（HJ 25.6）。</w:t>
      </w:r>
    </w:p>
    <w:p>
      <w:pPr>
        <w:spacing w:after="0"/>
        <w:ind w:firstLine="640"/>
        <w:rPr>
          <w:rFonts w:hint="eastAsia" w:ascii="仿宋_GB2312" w:hAnsi="仿宋_GB2312" w:cs="仿宋_GB2312"/>
          <w:sz w:val="32"/>
          <w:szCs w:val="40"/>
        </w:rPr>
      </w:pPr>
      <w:r>
        <w:rPr>
          <w:rFonts w:hint="eastAsia" w:ascii="仿宋_GB2312" w:hAnsi="仿宋_GB2312" w:cs="仿宋_GB2312"/>
          <w:sz w:val="32"/>
          <w:szCs w:val="32"/>
        </w:rPr>
        <w:t>如土壤环境质量满足《土壤环境质量 建设用地土壤污染风险管控标准（试行）》（GB 36600）第二类用地筛选值，地下水环境质量满足《地下水质量标准》（GB/T 14848）IV类标准，可认为达到</w:t>
      </w:r>
      <w:r>
        <w:rPr>
          <w:rFonts w:hint="eastAsia" w:ascii="仿宋_GB2312" w:hAnsi="仿宋_GB2312" w:cs="仿宋_GB2312"/>
          <w:sz w:val="32"/>
          <w:szCs w:val="40"/>
        </w:rPr>
        <w:t>远期目标。</w:t>
      </w:r>
    </w:p>
    <w:p>
      <w:pPr>
        <w:ind w:firstLine="600"/>
        <w:rPr>
          <w:rFonts w:ascii="Times New Roman" w:hAnsi="Times New Roman"/>
        </w:rPr>
      </w:pPr>
    </w:p>
    <w:sectPr>
      <w:footerReference r:id="rId11"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TimesNewRomanPSMT">
    <w:altName w:val="DejaVu Sans"/>
    <w:panose1 w:val="00000000000000000000"/>
    <w:charset w:val="00"/>
    <w:family w:val="roman"/>
    <w:pitch w:val="default"/>
    <w:sig w:usb0="00000000" w:usb1="00000000" w:usb2="00000010" w:usb3="00000000" w:csb0="0006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541744"/>
      <w:showingPlcHdr/>
    </w:sdtPr>
    <w:sdtEndPr>
      <w:rPr>
        <w:rFonts w:ascii="Times New Roman" w:hAnsi="Times New Roman" w:cs="Times New Roman"/>
      </w:rPr>
    </w:sdtEndPr>
    <w:sdtContent>
      <w:p>
        <w:pPr>
          <w:pStyle w:val="15"/>
          <w:ind w:firstLine="360"/>
          <w:jc w:val="center"/>
          <w:rPr>
            <w:rFonts w:ascii="Times New Roman" w:hAnsi="Times New Roman" w:cs="Times New Roman"/>
          </w:rPr>
        </w:pP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50110"/>
    </w:sdtPr>
    <w:sdtEndPr>
      <w:rPr>
        <w:rFonts w:ascii="Times New Roman" w:hAnsi="Times New Roman" w:cs="Times New Roman"/>
        <w:sz w:val="21"/>
        <w:szCs w:val="21"/>
      </w:rPr>
    </w:sdtEndPr>
    <w:sdtContent>
      <w:p>
        <w:pPr>
          <w:pStyle w:val="15"/>
          <w:ind w:firstLine="36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1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ind w:firstLine="600"/>
      </w:pPr>
      <w:r>
        <w:separator/>
      </w:r>
    </w:p>
  </w:footnote>
  <w:footnote w:type="continuationSeparator" w:id="5">
    <w:p>
      <w:pPr>
        <w:spacing w:before="0" w:after="0" w:line="240" w:lineRule="auto"/>
        <w:ind w:firstLine="600"/>
      </w:pPr>
      <w:r>
        <w:continuationSeparator/>
      </w:r>
    </w:p>
  </w:footnote>
  <w:footnote w:id="0">
    <w:p>
      <w:pPr>
        <w:pStyle w:val="19"/>
        <w:spacing w:after="0" w:line="360" w:lineRule="auto"/>
        <w:ind w:firstLine="420"/>
        <w:jc w:val="both"/>
        <w:rPr>
          <w:rFonts w:hint="eastAsia" w:ascii="仿宋_GB2312" w:hAnsi="仿宋_GB2312" w:cs="仿宋_GB2312"/>
          <w:sz w:val="21"/>
          <w:szCs w:val="21"/>
        </w:rPr>
      </w:pPr>
      <w:r>
        <w:rPr>
          <w:rStyle w:val="28"/>
          <w:rFonts w:hint="eastAsia" w:ascii="仿宋_GB2312" w:hAnsi="仿宋_GB2312" w:cs="仿宋_GB2312"/>
          <w:sz w:val="21"/>
          <w:szCs w:val="21"/>
          <w:vertAlign w:val="baseline"/>
        </w:rPr>
        <w:footnoteRef/>
      </w:r>
      <w:r>
        <w:rPr>
          <w:rFonts w:hint="eastAsia" w:ascii="仿宋_GB2312" w:hAnsi="仿宋_GB2312" w:cs="仿宋_GB2312"/>
          <w:sz w:val="21"/>
          <w:szCs w:val="21"/>
        </w:rPr>
        <w:t>.重点场所、重点设施设备和特征污染物均根据自行监测方案确定。土壤或地下水特征污染物超标是指土壤特征污染物含量超过《土壤环境质量 建设用地土壤污染风险管控标准（试行）》（GB 36600）第二类用地筛选值，地下水特征污染物浓度超过《地下水质量标准》（GB/T 14848）IV类标准。</w:t>
      </w:r>
    </w:p>
  </w:footnote>
  <w:footnote w:id="1">
    <w:p>
      <w:pPr>
        <w:pStyle w:val="19"/>
        <w:spacing w:after="0" w:line="360" w:lineRule="auto"/>
        <w:ind w:firstLine="420"/>
        <w:jc w:val="both"/>
        <w:rPr>
          <w:rFonts w:hint="eastAsia" w:ascii="仿宋_GB2312" w:hAnsi="仿宋_GB2312" w:cs="仿宋_GB2312"/>
          <w:sz w:val="21"/>
          <w:szCs w:val="21"/>
        </w:rPr>
      </w:pPr>
      <w:r>
        <w:rPr>
          <w:rFonts w:hint="eastAsia" w:ascii="仿宋_GB2312" w:hAnsi="仿宋_GB2312" w:cs="仿宋_GB2312"/>
          <w:sz w:val="21"/>
          <w:szCs w:val="21"/>
        </w:rPr>
        <w:footnoteRef/>
      </w:r>
      <w:r>
        <w:rPr>
          <w:rFonts w:hint="eastAsia" w:ascii="仿宋_GB2312" w:hAnsi="仿宋_GB2312" w:cs="仿宋_GB2312"/>
          <w:sz w:val="21"/>
          <w:szCs w:val="21"/>
        </w:rPr>
        <w:t>.可参考《建设用地土壤污染修复目标值制定指南（试行）》附录A土壤气/挥发通量的测试方法。</w:t>
      </w:r>
    </w:p>
    <w:p>
      <w:pPr>
        <w:pStyle w:val="19"/>
        <w:ind w:firstLine="0" w:firstLineChars="0"/>
        <w:rPr>
          <w:rFonts w:hint="eastAsia"/>
        </w:rPr>
      </w:pPr>
      <w:r>
        <w:rPr>
          <w:rFonts w:hint="eastAsia"/>
          <w:color w:val="EE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94"/>
    <w:rsid w:val="00007DC9"/>
    <w:rsid w:val="00017168"/>
    <w:rsid w:val="00020C88"/>
    <w:rsid w:val="00021EE2"/>
    <w:rsid w:val="000221E3"/>
    <w:rsid w:val="00024C01"/>
    <w:rsid w:val="00026290"/>
    <w:rsid w:val="00036B83"/>
    <w:rsid w:val="00040B9C"/>
    <w:rsid w:val="000413FC"/>
    <w:rsid w:val="000422F6"/>
    <w:rsid w:val="0004246E"/>
    <w:rsid w:val="0005388D"/>
    <w:rsid w:val="00053A90"/>
    <w:rsid w:val="00056E7B"/>
    <w:rsid w:val="0006081C"/>
    <w:rsid w:val="000631E1"/>
    <w:rsid w:val="00063E8C"/>
    <w:rsid w:val="00064E3F"/>
    <w:rsid w:val="000658AD"/>
    <w:rsid w:val="00066FD5"/>
    <w:rsid w:val="00067197"/>
    <w:rsid w:val="00073BC7"/>
    <w:rsid w:val="000741F3"/>
    <w:rsid w:val="00074808"/>
    <w:rsid w:val="00075419"/>
    <w:rsid w:val="00082009"/>
    <w:rsid w:val="000822FD"/>
    <w:rsid w:val="000834CB"/>
    <w:rsid w:val="00083806"/>
    <w:rsid w:val="000977C9"/>
    <w:rsid w:val="000A4B09"/>
    <w:rsid w:val="000B0256"/>
    <w:rsid w:val="000B1F03"/>
    <w:rsid w:val="000B3EAB"/>
    <w:rsid w:val="000B57F5"/>
    <w:rsid w:val="000B6AE3"/>
    <w:rsid w:val="000B73F2"/>
    <w:rsid w:val="000B7880"/>
    <w:rsid w:val="000C3728"/>
    <w:rsid w:val="000C59CB"/>
    <w:rsid w:val="000C70ED"/>
    <w:rsid w:val="000D0BAD"/>
    <w:rsid w:val="000D2BA9"/>
    <w:rsid w:val="000E4B74"/>
    <w:rsid w:val="000F1119"/>
    <w:rsid w:val="000F201B"/>
    <w:rsid w:val="000F23EA"/>
    <w:rsid w:val="000F7D8B"/>
    <w:rsid w:val="0010008F"/>
    <w:rsid w:val="00107648"/>
    <w:rsid w:val="001132D8"/>
    <w:rsid w:val="0011354F"/>
    <w:rsid w:val="00113932"/>
    <w:rsid w:val="00125B13"/>
    <w:rsid w:val="00130BA4"/>
    <w:rsid w:val="001340C9"/>
    <w:rsid w:val="00134A7A"/>
    <w:rsid w:val="001418A2"/>
    <w:rsid w:val="00141A1E"/>
    <w:rsid w:val="001508DB"/>
    <w:rsid w:val="00153A37"/>
    <w:rsid w:val="0016377F"/>
    <w:rsid w:val="00164B51"/>
    <w:rsid w:val="0017040D"/>
    <w:rsid w:val="00176AB7"/>
    <w:rsid w:val="00181384"/>
    <w:rsid w:val="00183846"/>
    <w:rsid w:val="00190299"/>
    <w:rsid w:val="001B0255"/>
    <w:rsid w:val="001B744A"/>
    <w:rsid w:val="001C3D5B"/>
    <w:rsid w:val="001C7142"/>
    <w:rsid w:val="001D2692"/>
    <w:rsid w:val="001D3351"/>
    <w:rsid w:val="001E0ADE"/>
    <w:rsid w:val="001E2768"/>
    <w:rsid w:val="001F275E"/>
    <w:rsid w:val="00200F83"/>
    <w:rsid w:val="00217AE9"/>
    <w:rsid w:val="002220B2"/>
    <w:rsid w:val="00223512"/>
    <w:rsid w:val="00223B50"/>
    <w:rsid w:val="00223DCE"/>
    <w:rsid w:val="0022512D"/>
    <w:rsid w:val="00225F9A"/>
    <w:rsid w:val="00231580"/>
    <w:rsid w:val="0023278C"/>
    <w:rsid w:val="002513E3"/>
    <w:rsid w:val="00251FFA"/>
    <w:rsid w:val="002573D6"/>
    <w:rsid w:val="00257AB9"/>
    <w:rsid w:val="002615C4"/>
    <w:rsid w:val="00266D6B"/>
    <w:rsid w:val="002715B7"/>
    <w:rsid w:val="00273E6A"/>
    <w:rsid w:val="00283097"/>
    <w:rsid w:val="002837B2"/>
    <w:rsid w:val="0029020E"/>
    <w:rsid w:val="00290BEC"/>
    <w:rsid w:val="00292D82"/>
    <w:rsid w:val="00293F6F"/>
    <w:rsid w:val="00296F4C"/>
    <w:rsid w:val="002A4A06"/>
    <w:rsid w:val="002A55F5"/>
    <w:rsid w:val="002A56D1"/>
    <w:rsid w:val="002B3140"/>
    <w:rsid w:val="002B3CFA"/>
    <w:rsid w:val="002B492B"/>
    <w:rsid w:val="002C0B66"/>
    <w:rsid w:val="002C136C"/>
    <w:rsid w:val="002C41BD"/>
    <w:rsid w:val="002C4D73"/>
    <w:rsid w:val="002D0B6A"/>
    <w:rsid w:val="002D1F35"/>
    <w:rsid w:val="002D34E6"/>
    <w:rsid w:val="002D3D3E"/>
    <w:rsid w:val="002D4234"/>
    <w:rsid w:val="002D5167"/>
    <w:rsid w:val="002E318E"/>
    <w:rsid w:val="002E4FF6"/>
    <w:rsid w:val="002E5EE1"/>
    <w:rsid w:val="002E7827"/>
    <w:rsid w:val="002F19E6"/>
    <w:rsid w:val="002F408E"/>
    <w:rsid w:val="002F4A53"/>
    <w:rsid w:val="002F6211"/>
    <w:rsid w:val="002F7C87"/>
    <w:rsid w:val="00303412"/>
    <w:rsid w:val="003115E1"/>
    <w:rsid w:val="00321BF1"/>
    <w:rsid w:val="003245F8"/>
    <w:rsid w:val="00324893"/>
    <w:rsid w:val="0033111E"/>
    <w:rsid w:val="00333805"/>
    <w:rsid w:val="00334038"/>
    <w:rsid w:val="0034180A"/>
    <w:rsid w:val="003423A8"/>
    <w:rsid w:val="00345810"/>
    <w:rsid w:val="003462FA"/>
    <w:rsid w:val="003510FD"/>
    <w:rsid w:val="00355CEF"/>
    <w:rsid w:val="00370919"/>
    <w:rsid w:val="0037173E"/>
    <w:rsid w:val="00380982"/>
    <w:rsid w:val="0038409C"/>
    <w:rsid w:val="00384AF1"/>
    <w:rsid w:val="00384B54"/>
    <w:rsid w:val="003A51D3"/>
    <w:rsid w:val="003B12D7"/>
    <w:rsid w:val="003B3E25"/>
    <w:rsid w:val="003B46F4"/>
    <w:rsid w:val="003B735C"/>
    <w:rsid w:val="003C2973"/>
    <w:rsid w:val="003C67EE"/>
    <w:rsid w:val="003D708C"/>
    <w:rsid w:val="003E2DB8"/>
    <w:rsid w:val="003E559C"/>
    <w:rsid w:val="003E6C74"/>
    <w:rsid w:val="003F2749"/>
    <w:rsid w:val="003F791B"/>
    <w:rsid w:val="00402265"/>
    <w:rsid w:val="004068D3"/>
    <w:rsid w:val="0041299F"/>
    <w:rsid w:val="004147EE"/>
    <w:rsid w:val="00421894"/>
    <w:rsid w:val="004235B2"/>
    <w:rsid w:val="00434B6C"/>
    <w:rsid w:val="00436E3E"/>
    <w:rsid w:val="004451E7"/>
    <w:rsid w:val="00452FA0"/>
    <w:rsid w:val="004561F2"/>
    <w:rsid w:val="00462821"/>
    <w:rsid w:val="004676DC"/>
    <w:rsid w:val="00470B56"/>
    <w:rsid w:val="00471B73"/>
    <w:rsid w:val="0047228F"/>
    <w:rsid w:val="00477F4B"/>
    <w:rsid w:val="00482261"/>
    <w:rsid w:val="00485CBC"/>
    <w:rsid w:val="004869DE"/>
    <w:rsid w:val="004911C0"/>
    <w:rsid w:val="004A4B0D"/>
    <w:rsid w:val="004A5BE2"/>
    <w:rsid w:val="004C15ED"/>
    <w:rsid w:val="004D42D8"/>
    <w:rsid w:val="004D5A7A"/>
    <w:rsid w:val="004E312D"/>
    <w:rsid w:val="004E7110"/>
    <w:rsid w:val="004F22E3"/>
    <w:rsid w:val="00503525"/>
    <w:rsid w:val="00513E3C"/>
    <w:rsid w:val="00513ED8"/>
    <w:rsid w:val="00516304"/>
    <w:rsid w:val="00525F79"/>
    <w:rsid w:val="005338AC"/>
    <w:rsid w:val="00533B2E"/>
    <w:rsid w:val="00536C97"/>
    <w:rsid w:val="00544969"/>
    <w:rsid w:val="005461AB"/>
    <w:rsid w:val="00547A9D"/>
    <w:rsid w:val="00550BEE"/>
    <w:rsid w:val="00553E38"/>
    <w:rsid w:val="00554288"/>
    <w:rsid w:val="0055782D"/>
    <w:rsid w:val="0056274B"/>
    <w:rsid w:val="00563738"/>
    <w:rsid w:val="00571861"/>
    <w:rsid w:val="00575606"/>
    <w:rsid w:val="0057713C"/>
    <w:rsid w:val="00577334"/>
    <w:rsid w:val="005778CF"/>
    <w:rsid w:val="00581D8F"/>
    <w:rsid w:val="005840A5"/>
    <w:rsid w:val="00590171"/>
    <w:rsid w:val="00591FBD"/>
    <w:rsid w:val="00592D0F"/>
    <w:rsid w:val="00594DDC"/>
    <w:rsid w:val="005962FB"/>
    <w:rsid w:val="0059710B"/>
    <w:rsid w:val="00597BEE"/>
    <w:rsid w:val="005A0609"/>
    <w:rsid w:val="005A0C2D"/>
    <w:rsid w:val="005A5F3D"/>
    <w:rsid w:val="005B0BF3"/>
    <w:rsid w:val="005B4428"/>
    <w:rsid w:val="005B4CE8"/>
    <w:rsid w:val="005B759C"/>
    <w:rsid w:val="005C3DBF"/>
    <w:rsid w:val="005D1DB5"/>
    <w:rsid w:val="005D448A"/>
    <w:rsid w:val="005D65BB"/>
    <w:rsid w:val="005E51B8"/>
    <w:rsid w:val="005F062C"/>
    <w:rsid w:val="005F2048"/>
    <w:rsid w:val="005F2072"/>
    <w:rsid w:val="005F3302"/>
    <w:rsid w:val="00601F9B"/>
    <w:rsid w:val="00603225"/>
    <w:rsid w:val="00610D08"/>
    <w:rsid w:val="0062420A"/>
    <w:rsid w:val="00631A4F"/>
    <w:rsid w:val="00635E1D"/>
    <w:rsid w:val="006373A3"/>
    <w:rsid w:val="006437B8"/>
    <w:rsid w:val="006463FC"/>
    <w:rsid w:val="00650970"/>
    <w:rsid w:val="006539A5"/>
    <w:rsid w:val="006545E8"/>
    <w:rsid w:val="00662BF2"/>
    <w:rsid w:val="00663728"/>
    <w:rsid w:val="00664E42"/>
    <w:rsid w:val="00667923"/>
    <w:rsid w:val="00677553"/>
    <w:rsid w:val="00681F11"/>
    <w:rsid w:val="00684021"/>
    <w:rsid w:val="0068564D"/>
    <w:rsid w:val="006968F2"/>
    <w:rsid w:val="006A02E1"/>
    <w:rsid w:val="006A1879"/>
    <w:rsid w:val="006A5D6D"/>
    <w:rsid w:val="006A7527"/>
    <w:rsid w:val="006A7E21"/>
    <w:rsid w:val="006B279A"/>
    <w:rsid w:val="006B4986"/>
    <w:rsid w:val="006C18CB"/>
    <w:rsid w:val="006C53AE"/>
    <w:rsid w:val="006C6F17"/>
    <w:rsid w:val="006D089A"/>
    <w:rsid w:val="006D2C34"/>
    <w:rsid w:val="006D4BE5"/>
    <w:rsid w:val="006E2952"/>
    <w:rsid w:val="006E3686"/>
    <w:rsid w:val="006E4EAB"/>
    <w:rsid w:val="006E5874"/>
    <w:rsid w:val="006F1EEF"/>
    <w:rsid w:val="006F2518"/>
    <w:rsid w:val="006F2D10"/>
    <w:rsid w:val="006F74DD"/>
    <w:rsid w:val="0070137C"/>
    <w:rsid w:val="0070375C"/>
    <w:rsid w:val="0070650D"/>
    <w:rsid w:val="0071112F"/>
    <w:rsid w:val="00713AA3"/>
    <w:rsid w:val="00713C4B"/>
    <w:rsid w:val="00715A4E"/>
    <w:rsid w:val="00725C13"/>
    <w:rsid w:val="007366E3"/>
    <w:rsid w:val="00740C07"/>
    <w:rsid w:val="0074217C"/>
    <w:rsid w:val="0074649D"/>
    <w:rsid w:val="00755BD7"/>
    <w:rsid w:val="0075776E"/>
    <w:rsid w:val="00761669"/>
    <w:rsid w:val="007641FE"/>
    <w:rsid w:val="00774C91"/>
    <w:rsid w:val="0077536D"/>
    <w:rsid w:val="00781031"/>
    <w:rsid w:val="00784E40"/>
    <w:rsid w:val="00795E86"/>
    <w:rsid w:val="00796B1A"/>
    <w:rsid w:val="007A730C"/>
    <w:rsid w:val="007B0C45"/>
    <w:rsid w:val="007B1B06"/>
    <w:rsid w:val="007B37EF"/>
    <w:rsid w:val="007B3BB7"/>
    <w:rsid w:val="007B5FC9"/>
    <w:rsid w:val="007B7A4B"/>
    <w:rsid w:val="007C232A"/>
    <w:rsid w:val="007C530A"/>
    <w:rsid w:val="007D34A5"/>
    <w:rsid w:val="007D57E4"/>
    <w:rsid w:val="007D73E1"/>
    <w:rsid w:val="007E104B"/>
    <w:rsid w:val="007F2615"/>
    <w:rsid w:val="007F3DCC"/>
    <w:rsid w:val="007F4482"/>
    <w:rsid w:val="007F5F56"/>
    <w:rsid w:val="00800DAF"/>
    <w:rsid w:val="00802B89"/>
    <w:rsid w:val="00811309"/>
    <w:rsid w:val="008132B7"/>
    <w:rsid w:val="0081348C"/>
    <w:rsid w:val="008134CA"/>
    <w:rsid w:val="0081725F"/>
    <w:rsid w:val="00817C3D"/>
    <w:rsid w:val="00821028"/>
    <w:rsid w:val="00822055"/>
    <w:rsid w:val="00822E40"/>
    <w:rsid w:val="008237D8"/>
    <w:rsid w:val="008326E0"/>
    <w:rsid w:val="0084143C"/>
    <w:rsid w:val="008460B5"/>
    <w:rsid w:val="008502E8"/>
    <w:rsid w:val="00850C46"/>
    <w:rsid w:val="0085257C"/>
    <w:rsid w:val="00854764"/>
    <w:rsid w:val="00857156"/>
    <w:rsid w:val="0086108B"/>
    <w:rsid w:val="00862088"/>
    <w:rsid w:val="008636AC"/>
    <w:rsid w:val="0086689A"/>
    <w:rsid w:val="008714E3"/>
    <w:rsid w:val="00872A1F"/>
    <w:rsid w:val="008763CB"/>
    <w:rsid w:val="008800D8"/>
    <w:rsid w:val="0089585C"/>
    <w:rsid w:val="008A0BC3"/>
    <w:rsid w:val="008A1BC5"/>
    <w:rsid w:val="008A2DA0"/>
    <w:rsid w:val="008A4D42"/>
    <w:rsid w:val="008B0792"/>
    <w:rsid w:val="008B2E85"/>
    <w:rsid w:val="008B57E5"/>
    <w:rsid w:val="008B5F4C"/>
    <w:rsid w:val="008C2CF3"/>
    <w:rsid w:val="008C6115"/>
    <w:rsid w:val="008D072D"/>
    <w:rsid w:val="008D1D57"/>
    <w:rsid w:val="008D4AD2"/>
    <w:rsid w:val="008D5E4E"/>
    <w:rsid w:val="008E07E0"/>
    <w:rsid w:val="008E21E5"/>
    <w:rsid w:val="008E43C3"/>
    <w:rsid w:val="008E5D13"/>
    <w:rsid w:val="008F1A43"/>
    <w:rsid w:val="008F705C"/>
    <w:rsid w:val="0090025C"/>
    <w:rsid w:val="00901D22"/>
    <w:rsid w:val="009043EE"/>
    <w:rsid w:val="0091269F"/>
    <w:rsid w:val="00915710"/>
    <w:rsid w:val="0092043B"/>
    <w:rsid w:val="00932E2E"/>
    <w:rsid w:val="00933723"/>
    <w:rsid w:val="00935510"/>
    <w:rsid w:val="00935536"/>
    <w:rsid w:val="00940B09"/>
    <w:rsid w:val="00942F55"/>
    <w:rsid w:val="00950431"/>
    <w:rsid w:val="0095556C"/>
    <w:rsid w:val="00957253"/>
    <w:rsid w:val="0096050E"/>
    <w:rsid w:val="00963780"/>
    <w:rsid w:val="00965C6D"/>
    <w:rsid w:val="009711ED"/>
    <w:rsid w:val="00982BE2"/>
    <w:rsid w:val="00984361"/>
    <w:rsid w:val="0099241C"/>
    <w:rsid w:val="0099436A"/>
    <w:rsid w:val="00997002"/>
    <w:rsid w:val="009A2F9D"/>
    <w:rsid w:val="009A3E0D"/>
    <w:rsid w:val="009A69FA"/>
    <w:rsid w:val="009C0BA8"/>
    <w:rsid w:val="009C475D"/>
    <w:rsid w:val="009C4C31"/>
    <w:rsid w:val="009D3A84"/>
    <w:rsid w:val="009D529B"/>
    <w:rsid w:val="009E6650"/>
    <w:rsid w:val="009E789F"/>
    <w:rsid w:val="009E7FC7"/>
    <w:rsid w:val="009F06EE"/>
    <w:rsid w:val="009F23E2"/>
    <w:rsid w:val="009F34BF"/>
    <w:rsid w:val="009F3864"/>
    <w:rsid w:val="00A01DD5"/>
    <w:rsid w:val="00A07DBD"/>
    <w:rsid w:val="00A2081F"/>
    <w:rsid w:val="00A220C4"/>
    <w:rsid w:val="00A23807"/>
    <w:rsid w:val="00A24E9A"/>
    <w:rsid w:val="00A263C3"/>
    <w:rsid w:val="00A31705"/>
    <w:rsid w:val="00A31F1C"/>
    <w:rsid w:val="00A33827"/>
    <w:rsid w:val="00A37275"/>
    <w:rsid w:val="00A45E9F"/>
    <w:rsid w:val="00A47AB3"/>
    <w:rsid w:val="00A508F8"/>
    <w:rsid w:val="00A51E58"/>
    <w:rsid w:val="00A52DE5"/>
    <w:rsid w:val="00A52E38"/>
    <w:rsid w:val="00A55F6F"/>
    <w:rsid w:val="00A56E27"/>
    <w:rsid w:val="00A64BDA"/>
    <w:rsid w:val="00A65C31"/>
    <w:rsid w:val="00A707B1"/>
    <w:rsid w:val="00A71780"/>
    <w:rsid w:val="00A83F88"/>
    <w:rsid w:val="00A93570"/>
    <w:rsid w:val="00A94CE0"/>
    <w:rsid w:val="00A959DA"/>
    <w:rsid w:val="00AA2FC6"/>
    <w:rsid w:val="00AA4ACE"/>
    <w:rsid w:val="00AB166F"/>
    <w:rsid w:val="00AB23F7"/>
    <w:rsid w:val="00AB24B4"/>
    <w:rsid w:val="00AB4E98"/>
    <w:rsid w:val="00AB50CF"/>
    <w:rsid w:val="00AC10ED"/>
    <w:rsid w:val="00AC1F01"/>
    <w:rsid w:val="00AC6729"/>
    <w:rsid w:val="00AD53C4"/>
    <w:rsid w:val="00AE27FB"/>
    <w:rsid w:val="00AE5CA1"/>
    <w:rsid w:val="00AE7DF2"/>
    <w:rsid w:val="00AF3557"/>
    <w:rsid w:val="00AF4157"/>
    <w:rsid w:val="00B05ECF"/>
    <w:rsid w:val="00B108D9"/>
    <w:rsid w:val="00B11550"/>
    <w:rsid w:val="00B1278B"/>
    <w:rsid w:val="00B12C0F"/>
    <w:rsid w:val="00B15D8C"/>
    <w:rsid w:val="00B15EF7"/>
    <w:rsid w:val="00B239CF"/>
    <w:rsid w:val="00B24513"/>
    <w:rsid w:val="00B25B19"/>
    <w:rsid w:val="00B25E86"/>
    <w:rsid w:val="00B30E7D"/>
    <w:rsid w:val="00B322E7"/>
    <w:rsid w:val="00B409E8"/>
    <w:rsid w:val="00B53713"/>
    <w:rsid w:val="00B54C77"/>
    <w:rsid w:val="00B554C3"/>
    <w:rsid w:val="00B618F7"/>
    <w:rsid w:val="00B63FF8"/>
    <w:rsid w:val="00B644A3"/>
    <w:rsid w:val="00B679BA"/>
    <w:rsid w:val="00B73ADD"/>
    <w:rsid w:val="00B74E21"/>
    <w:rsid w:val="00B76800"/>
    <w:rsid w:val="00B8209E"/>
    <w:rsid w:val="00BA2C01"/>
    <w:rsid w:val="00BA3D19"/>
    <w:rsid w:val="00BA4098"/>
    <w:rsid w:val="00BA4562"/>
    <w:rsid w:val="00BA4F4D"/>
    <w:rsid w:val="00BA5A7B"/>
    <w:rsid w:val="00BB5EEE"/>
    <w:rsid w:val="00BB6B65"/>
    <w:rsid w:val="00BB7EAB"/>
    <w:rsid w:val="00BD130C"/>
    <w:rsid w:val="00BE18E6"/>
    <w:rsid w:val="00BE60F3"/>
    <w:rsid w:val="00BE745E"/>
    <w:rsid w:val="00BF2338"/>
    <w:rsid w:val="00BF64DB"/>
    <w:rsid w:val="00BF7A8A"/>
    <w:rsid w:val="00C01499"/>
    <w:rsid w:val="00C019E0"/>
    <w:rsid w:val="00C03E0A"/>
    <w:rsid w:val="00C05AFF"/>
    <w:rsid w:val="00C07EBA"/>
    <w:rsid w:val="00C10614"/>
    <w:rsid w:val="00C126FC"/>
    <w:rsid w:val="00C16463"/>
    <w:rsid w:val="00C24A94"/>
    <w:rsid w:val="00C2544E"/>
    <w:rsid w:val="00C422B0"/>
    <w:rsid w:val="00C46CD1"/>
    <w:rsid w:val="00C47125"/>
    <w:rsid w:val="00C50B68"/>
    <w:rsid w:val="00C5268E"/>
    <w:rsid w:val="00C53086"/>
    <w:rsid w:val="00C6379E"/>
    <w:rsid w:val="00C650D7"/>
    <w:rsid w:val="00C73E0E"/>
    <w:rsid w:val="00C76F73"/>
    <w:rsid w:val="00C838AD"/>
    <w:rsid w:val="00C906D1"/>
    <w:rsid w:val="00C91D74"/>
    <w:rsid w:val="00C91F72"/>
    <w:rsid w:val="00C9320A"/>
    <w:rsid w:val="00C97566"/>
    <w:rsid w:val="00C97651"/>
    <w:rsid w:val="00CA1026"/>
    <w:rsid w:val="00CB0BC5"/>
    <w:rsid w:val="00CB21FD"/>
    <w:rsid w:val="00CC0CD4"/>
    <w:rsid w:val="00CC21F2"/>
    <w:rsid w:val="00CC615A"/>
    <w:rsid w:val="00CD2684"/>
    <w:rsid w:val="00CD49E3"/>
    <w:rsid w:val="00CD5272"/>
    <w:rsid w:val="00CE03FB"/>
    <w:rsid w:val="00CE12D3"/>
    <w:rsid w:val="00CE38CE"/>
    <w:rsid w:val="00CF12B9"/>
    <w:rsid w:val="00CF690E"/>
    <w:rsid w:val="00D0248C"/>
    <w:rsid w:val="00D0386A"/>
    <w:rsid w:val="00D039BE"/>
    <w:rsid w:val="00D04F2D"/>
    <w:rsid w:val="00D14FD6"/>
    <w:rsid w:val="00D16B38"/>
    <w:rsid w:val="00D16D19"/>
    <w:rsid w:val="00D272E5"/>
    <w:rsid w:val="00D32B47"/>
    <w:rsid w:val="00D35967"/>
    <w:rsid w:val="00D35A78"/>
    <w:rsid w:val="00D3622F"/>
    <w:rsid w:val="00D371DA"/>
    <w:rsid w:val="00D40810"/>
    <w:rsid w:val="00D42F88"/>
    <w:rsid w:val="00D44658"/>
    <w:rsid w:val="00D52010"/>
    <w:rsid w:val="00D52C40"/>
    <w:rsid w:val="00D54DC1"/>
    <w:rsid w:val="00D56169"/>
    <w:rsid w:val="00D57C72"/>
    <w:rsid w:val="00D70E37"/>
    <w:rsid w:val="00D75B12"/>
    <w:rsid w:val="00D81190"/>
    <w:rsid w:val="00D821B3"/>
    <w:rsid w:val="00D82BB1"/>
    <w:rsid w:val="00D85FA6"/>
    <w:rsid w:val="00D876FC"/>
    <w:rsid w:val="00D9412C"/>
    <w:rsid w:val="00D94A9E"/>
    <w:rsid w:val="00D950C4"/>
    <w:rsid w:val="00DA3CA2"/>
    <w:rsid w:val="00DA47FE"/>
    <w:rsid w:val="00DA55BC"/>
    <w:rsid w:val="00DA5646"/>
    <w:rsid w:val="00DA61C1"/>
    <w:rsid w:val="00DB1292"/>
    <w:rsid w:val="00DB38D8"/>
    <w:rsid w:val="00DC0770"/>
    <w:rsid w:val="00DC2547"/>
    <w:rsid w:val="00DC3B61"/>
    <w:rsid w:val="00DC7EAC"/>
    <w:rsid w:val="00DD113A"/>
    <w:rsid w:val="00DD2598"/>
    <w:rsid w:val="00DD7782"/>
    <w:rsid w:val="00DE1D01"/>
    <w:rsid w:val="00DE2C42"/>
    <w:rsid w:val="00DE78F1"/>
    <w:rsid w:val="00DF0604"/>
    <w:rsid w:val="00DF6B66"/>
    <w:rsid w:val="00E00729"/>
    <w:rsid w:val="00E0094E"/>
    <w:rsid w:val="00E00A7E"/>
    <w:rsid w:val="00E10417"/>
    <w:rsid w:val="00E13458"/>
    <w:rsid w:val="00E14564"/>
    <w:rsid w:val="00E14A3B"/>
    <w:rsid w:val="00E164ED"/>
    <w:rsid w:val="00E21588"/>
    <w:rsid w:val="00E24891"/>
    <w:rsid w:val="00E26431"/>
    <w:rsid w:val="00E371C4"/>
    <w:rsid w:val="00E43EDF"/>
    <w:rsid w:val="00E4781D"/>
    <w:rsid w:val="00E54866"/>
    <w:rsid w:val="00E55530"/>
    <w:rsid w:val="00E564BE"/>
    <w:rsid w:val="00E57BA5"/>
    <w:rsid w:val="00E77021"/>
    <w:rsid w:val="00E77D2E"/>
    <w:rsid w:val="00E80013"/>
    <w:rsid w:val="00E8002E"/>
    <w:rsid w:val="00E82AE5"/>
    <w:rsid w:val="00E839F0"/>
    <w:rsid w:val="00E864A4"/>
    <w:rsid w:val="00E87D0F"/>
    <w:rsid w:val="00E91EF8"/>
    <w:rsid w:val="00EA001E"/>
    <w:rsid w:val="00EA263C"/>
    <w:rsid w:val="00EA3264"/>
    <w:rsid w:val="00EB4198"/>
    <w:rsid w:val="00EB7ABE"/>
    <w:rsid w:val="00EC4C6F"/>
    <w:rsid w:val="00EE29C1"/>
    <w:rsid w:val="00EE3F41"/>
    <w:rsid w:val="00EF74E9"/>
    <w:rsid w:val="00F11A99"/>
    <w:rsid w:val="00F13C72"/>
    <w:rsid w:val="00F16451"/>
    <w:rsid w:val="00F35BDC"/>
    <w:rsid w:val="00F44A83"/>
    <w:rsid w:val="00F537D2"/>
    <w:rsid w:val="00F566F7"/>
    <w:rsid w:val="00F5774F"/>
    <w:rsid w:val="00F617F2"/>
    <w:rsid w:val="00F63CF1"/>
    <w:rsid w:val="00F64E89"/>
    <w:rsid w:val="00F6649F"/>
    <w:rsid w:val="00F66F56"/>
    <w:rsid w:val="00F7056A"/>
    <w:rsid w:val="00F73C13"/>
    <w:rsid w:val="00F844DA"/>
    <w:rsid w:val="00F86C87"/>
    <w:rsid w:val="00F914E9"/>
    <w:rsid w:val="00F928D0"/>
    <w:rsid w:val="00F93551"/>
    <w:rsid w:val="00FB3929"/>
    <w:rsid w:val="00FC0B49"/>
    <w:rsid w:val="00FC0D7D"/>
    <w:rsid w:val="00FC38CE"/>
    <w:rsid w:val="00FC634E"/>
    <w:rsid w:val="00FD3854"/>
    <w:rsid w:val="00FD4F40"/>
    <w:rsid w:val="00FD6DAB"/>
    <w:rsid w:val="00FE05C2"/>
    <w:rsid w:val="00FF313E"/>
    <w:rsid w:val="00FF57F9"/>
    <w:rsid w:val="07F13FAE"/>
    <w:rsid w:val="085E38B0"/>
    <w:rsid w:val="0CD45BE1"/>
    <w:rsid w:val="2B5C35A2"/>
    <w:rsid w:val="2BAF4E2C"/>
    <w:rsid w:val="2EEFB654"/>
    <w:rsid w:val="30B56CEB"/>
    <w:rsid w:val="37FD0F14"/>
    <w:rsid w:val="39506C30"/>
    <w:rsid w:val="3DFE2521"/>
    <w:rsid w:val="48323162"/>
    <w:rsid w:val="4AF97651"/>
    <w:rsid w:val="4DA75B7C"/>
    <w:rsid w:val="5EEA0ABD"/>
    <w:rsid w:val="6CE83696"/>
    <w:rsid w:val="741143D4"/>
    <w:rsid w:val="762168CB"/>
    <w:rsid w:val="77DFD2BB"/>
    <w:rsid w:val="785FA376"/>
    <w:rsid w:val="78AF7C3A"/>
    <w:rsid w:val="7A5274E3"/>
    <w:rsid w:val="7A6AFFCF"/>
    <w:rsid w:val="7EFE873E"/>
    <w:rsid w:val="7FE5089A"/>
    <w:rsid w:val="8BFFDA4F"/>
    <w:rsid w:val="97F56E99"/>
    <w:rsid w:val="A7CF111F"/>
    <w:rsid w:val="AD670326"/>
    <w:rsid w:val="BEF1471D"/>
    <w:rsid w:val="BF3BED7D"/>
    <w:rsid w:val="E77982BE"/>
    <w:rsid w:val="EFD8617C"/>
    <w:rsid w:val="F79D2BBD"/>
    <w:rsid w:val="FAEF9C97"/>
    <w:rsid w:val="FD732E01"/>
    <w:rsid w:val="FD7A2914"/>
    <w:rsid w:val="FEDFB770"/>
    <w:rsid w:val="FFFD93FB"/>
    <w:rsid w:val="FFFE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160" w:line="570" w:lineRule="exact"/>
      <w:ind w:firstLine="200" w:firstLineChars="200"/>
      <w:jc w:val="both"/>
    </w:pPr>
    <w:rPr>
      <w:rFonts w:eastAsia="仿宋_GB2312" w:asciiTheme="minorHAnsi" w:hAnsiTheme="minorHAnsi" w:cstheme="minorBidi"/>
      <w:kern w:val="2"/>
      <w:sz w:val="30"/>
      <w:szCs w:val="22"/>
      <w:lang w:val="en-US" w:eastAsia="zh-CN" w:bidi="ar-SA"/>
    </w:rPr>
  </w:style>
  <w:style w:type="paragraph" w:styleId="4">
    <w:name w:val="heading 1"/>
    <w:basedOn w:val="1"/>
    <w:next w:val="1"/>
    <w:link w:val="29"/>
    <w:qFormat/>
    <w:uiPriority w:val="9"/>
    <w:pPr>
      <w:keepNext/>
      <w:keepLines/>
      <w:spacing w:line="560" w:lineRule="exact"/>
      <w:outlineLvl w:val="0"/>
    </w:pPr>
    <w:rPr>
      <w:rFonts w:ascii="Times New Roman" w:hAnsi="Times New Roman" w:eastAsia="黑体" w:cstheme="majorBidi"/>
      <w:color w:val="000000" w:themeColor="text1"/>
      <w:sz w:val="28"/>
      <w:szCs w:val="48"/>
      <w14:textFill>
        <w14:solidFill>
          <w14:schemeClr w14:val="tx1"/>
        </w14:solidFill>
      </w14:textFill>
    </w:rPr>
  </w:style>
  <w:style w:type="paragraph" w:styleId="5">
    <w:name w:val="heading 2"/>
    <w:basedOn w:val="1"/>
    <w:next w:val="1"/>
    <w:link w:val="30"/>
    <w:unhideWhenUsed/>
    <w:qFormat/>
    <w:uiPriority w:val="9"/>
    <w:pPr>
      <w:keepNext/>
      <w:keepLines/>
      <w:spacing w:before="160" w:after="80"/>
      <w:outlineLvl w:val="1"/>
    </w:pPr>
    <w:rPr>
      <w:rFonts w:ascii="Times New Roman" w:hAnsi="Times New Roman" w:eastAsia="楷体_GB2312" w:cstheme="majorBidi"/>
      <w:color w:val="000000" w:themeColor="text1"/>
      <w:sz w:val="32"/>
      <w:szCs w:val="40"/>
      <w14:textFill>
        <w14:solidFill>
          <w14:schemeClr w14:val="tx1"/>
        </w14:solidFill>
      </w14:textFill>
    </w:rPr>
  </w:style>
  <w:style w:type="paragraph" w:styleId="6">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2940"/>
    </w:pPr>
  </w:style>
  <w:style w:type="paragraph" w:styleId="13">
    <w:name w:val="caption"/>
    <w:basedOn w:val="1"/>
    <w:next w:val="1"/>
    <w:unhideWhenUsed/>
    <w:qFormat/>
    <w:uiPriority w:val="35"/>
    <w:pPr>
      <w:adjustRightInd/>
      <w:snapToGrid/>
      <w:spacing w:line="360" w:lineRule="auto"/>
      <w:ind w:firstLine="0" w:firstLineChars="0"/>
      <w:jc w:val="center"/>
    </w:pPr>
    <w:rPr>
      <w:rFonts w:ascii="Times New Roman" w:hAnsi="Times New Roman" w:eastAsia="黑体"/>
      <w:sz w:val="24"/>
    </w:rPr>
  </w:style>
  <w:style w:type="paragraph" w:styleId="14">
    <w:name w:val="annotation text"/>
    <w:basedOn w:val="1"/>
    <w:link w:val="51"/>
    <w:unhideWhenUsed/>
    <w:qFormat/>
    <w:uiPriority w:val="99"/>
    <w:pPr>
      <w:jc w:val="left"/>
    </w:pPr>
  </w:style>
  <w:style w:type="paragraph" w:styleId="15">
    <w:name w:val="footer"/>
    <w:basedOn w:val="1"/>
    <w:link w:val="48"/>
    <w:unhideWhenUsed/>
    <w:qFormat/>
    <w:uiPriority w:val="99"/>
    <w:pPr>
      <w:tabs>
        <w:tab w:val="center" w:pos="4153"/>
        <w:tab w:val="right" w:pos="8306"/>
      </w:tabs>
      <w:spacing w:line="240" w:lineRule="atLeast"/>
      <w:jc w:val="left"/>
    </w:pPr>
    <w:rPr>
      <w:sz w:val="18"/>
      <w:szCs w:val="18"/>
    </w:rPr>
  </w:style>
  <w:style w:type="paragraph" w:styleId="16">
    <w:name w:val="header"/>
    <w:basedOn w:val="1"/>
    <w:link w:val="47"/>
    <w:unhideWhenUsed/>
    <w:qFormat/>
    <w:uiPriority w:val="99"/>
    <w:pPr>
      <w:tabs>
        <w:tab w:val="center" w:pos="4153"/>
        <w:tab w:val="right" w:pos="8306"/>
      </w:tabs>
      <w:spacing w:line="240" w:lineRule="atLeast"/>
      <w:jc w:val="center"/>
    </w:pPr>
    <w:rPr>
      <w:sz w:val="18"/>
      <w:szCs w:val="18"/>
    </w:rPr>
  </w:style>
  <w:style w:type="paragraph" w:styleId="17">
    <w:name w:val="toc 1"/>
    <w:basedOn w:val="1"/>
    <w:next w:val="1"/>
    <w:unhideWhenUsed/>
    <w:qFormat/>
    <w:uiPriority w:val="39"/>
  </w:style>
  <w:style w:type="paragraph" w:styleId="18">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footnote text"/>
    <w:basedOn w:val="1"/>
    <w:link w:val="56"/>
    <w:semiHidden/>
    <w:unhideWhenUsed/>
    <w:qFormat/>
    <w:uiPriority w:val="99"/>
    <w:pPr>
      <w:jc w:val="left"/>
    </w:pPr>
    <w:rPr>
      <w:sz w:val="18"/>
      <w:szCs w:val="18"/>
    </w:rPr>
  </w:style>
  <w:style w:type="paragraph" w:styleId="20">
    <w:name w:val="toc 2"/>
    <w:basedOn w:val="1"/>
    <w:next w:val="1"/>
    <w:unhideWhenUsed/>
    <w:qFormat/>
    <w:uiPriority w:val="39"/>
    <w:pPr>
      <w:ind w:left="420" w:leftChars="200"/>
    </w:pPr>
  </w:style>
  <w:style w:type="paragraph" w:styleId="21">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4"/>
    <w:next w:val="14"/>
    <w:link w:val="52"/>
    <w:semiHidden/>
    <w:unhideWhenUsed/>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467886"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styleId="28">
    <w:name w:val="footnote reference"/>
    <w:basedOn w:val="25"/>
    <w:semiHidden/>
    <w:unhideWhenUsed/>
    <w:qFormat/>
    <w:uiPriority w:val="99"/>
    <w:rPr>
      <w:vertAlign w:val="superscript"/>
    </w:rPr>
  </w:style>
  <w:style w:type="character" w:customStyle="1" w:styleId="29">
    <w:name w:val="标题 1 字符"/>
    <w:basedOn w:val="25"/>
    <w:link w:val="4"/>
    <w:qFormat/>
    <w:uiPriority w:val="9"/>
    <w:rPr>
      <w:rFonts w:ascii="Times New Roman" w:hAnsi="Times New Roman" w:eastAsia="黑体" w:cstheme="majorBidi"/>
      <w:color w:val="000000" w:themeColor="text1"/>
      <w:sz w:val="28"/>
      <w:szCs w:val="48"/>
      <w14:textFill>
        <w14:solidFill>
          <w14:schemeClr w14:val="tx1"/>
        </w14:solidFill>
      </w14:textFill>
    </w:rPr>
  </w:style>
  <w:style w:type="character" w:customStyle="1" w:styleId="30">
    <w:name w:val="标题 2 字符"/>
    <w:basedOn w:val="25"/>
    <w:link w:val="5"/>
    <w:qFormat/>
    <w:uiPriority w:val="9"/>
    <w:rPr>
      <w:rFonts w:ascii="Times New Roman" w:hAnsi="Times New Roman" w:eastAsia="楷体_GB2312" w:cstheme="majorBidi"/>
      <w:color w:val="000000" w:themeColor="text1"/>
      <w:sz w:val="32"/>
      <w:szCs w:val="40"/>
      <w14:textFill>
        <w14:solidFill>
          <w14:schemeClr w14:val="tx1"/>
        </w14:solidFill>
      </w14:textFill>
    </w:rPr>
  </w:style>
  <w:style w:type="character" w:customStyle="1" w:styleId="31">
    <w:name w:val="标题 3 字符"/>
    <w:basedOn w:val="25"/>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5"/>
    <w:link w:val="7"/>
    <w:semiHidden/>
    <w:qFormat/>
    <w:uiPriority w:val="9"/>
    <w:rPr>
      <w:rFonts w:cstheme="majorBidi"/>
      <w:color w:val="104862" w:themeColor="accent1" w:themeShade="BF"/>
      <w:sz w:val="28"/>
      <w:szCs w:val="28"/>
    </w:rPr>
  </w:style>
  <w:style w:type="character" w:customStyle="1" w:styleId="33">
    <w:name w:val="标题 5 字符"/>
    <w:basedOn w:val="25"/>
    <w:link w:val="8"/>
    <w:semiHidden/>
    <w:qFormat/>
    <w:uiPriority w:val="9"/>
    <w:rPr>
      <w:rFonts w:cstheme="majorBidi"/>
      <w:color w:val="104862" w:themeColor="accent1" w:themeShade="BF"/>
      <w:sz w:val="24"/>
      <w:szCs w:val="24"/>
    </w:rPr>
  </w:style>
  <w:style w:type="character" w:customStyle="1" w:styleId="34">
    <w:name w:val="标题 6 字符"/>
    <w:basedOn w:val="25"/>
    <w:link w:val="9"/>
    <w:semiHidden/>
    <w:qFormat/>
    <w:uiPriority w:val="9"/>
    <w:rPr>
      <w:rFonts w:cstheme="majorBidi"/>
      <w:b/>
      <w:bCs/>
      <w:color w:val="104862" w:themeColor="accent1" w:themeShade="BF"/>
    </w:rPr>
  </w:style>
  <w:style w:type="character" w:customStyle="1" w:styleId="35">
    <w:name w:val="标题 7 字符"/>
    <w:basedOn w:val="25"/>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5"/>
    <w:link w:val="44"/>
    <w:qFormat/>
    <w:uiPriority w:val="30"/>
    <w:rPr>
      <w:i/>
      <w:iCs/>
      <w:color w:val="104862" w:themeColor="accent1" w:themeShade="BF"/>
    </w:rPr>
  </w:style>
  <w:style w:type="character" w:customStyle="1" w:styleId="46">
    <w:name w:val="明显参考1"/>
    <w:basedOn w:val="25"/>
    <w:qFormat/>
    <w:uiPriority w:val="32"/>
    <w:rPr>
      <w:b/>
      <w:bCs/>
      <w:smallCaps/>
      <w:color w:val="104862" w:themeColor="accent1" w:themeShade="BF"/>
      <w:spacing w:val="5"/>
    </w:rPr>
  </w:style>
  <w:style w:type="character" w:customStyle="1" w:styleId="47">
    <w:name w:val="页眉 字符"/>
    <w:basedOn w:val="25"/>
    <w:link w:val="16"/>
    <w:qFormat/>
    <w:uiPriority w:val="99"/>
    <w:rPr>
      <w:sz w:val="18"/>
      <w:szCs w:val="18"/>
    </w:rPr>
  </w:style>
  <w:style w:type="character" w:customStyle="1" w:styleId="48">
    <w:name w:val="页脚 字符"/>
    <w:basedOn w:val="25"/>
    <w:link w:val="15"/>
    <w:qFormat/>
    <w:uiPriority w:val="99"/>
    <w:rPr>
      <w:sz w:val="18"/>
      <w:szCs w:val="18"/>
    </w:rPr>
  </w:style>
  <w:style w:type="paragraph" w:customStyle="1" w:styleId="49">
    <w:name w:val="修订1"/>
    <w:hidden/>
    <w:unhideWhenUsed/>
    <w:qFormat/>
    <w:uiPriority w:val="99"/>
    <w:pPr>
      <w:spacing w:after="160" w:line="278" w:lineRule="auto"/>
    </w:pPr>
    <w:rPr>
      <w:rFonts w:eastAsia="仿宋_GB2312" w:asciiTheme="minorHAnsi" w:hAnsiTheme="minorHAnsi" w:cstheme="minorBidi"/>
      <w:kern w:val="2"/>
      <w:sz w:val="30"/>
      <w:szCs w:val="22"/>
      <w:lang w:val="en-US" w:eastAsia="zh-CN" w:bidi="ar-SA"/>
    </w:rPr>
  </w:style>
  <w:style w:type="paragraph" w:customStyle="1" w:styleId="50">
    <w:name w:val="修订2"/>
    <w:hidden/>
    <w:unhideWhenUsed/>
    <w:qFormat/>
    <w:uiPriority w:val="99"/>
    <w:pPr>
      <w:spacing w:after="160" w:line="278" w:lineRule="auto"/>
    </w:pPr>
    <w:rPr>
      <w:rFonts w:eastAsia="仿宋_GB2312" w:asciiTheme="minorHAnsi" w:hAnsiTheme="minorHAnsi" w:cstheme="minorBidi"/>
      <w:kern w:val="2"/>
      <w:sz w:val="30"/>
      <w:szCs w:val="22"/>
      <w:lang w:val="en-US" w:eastAsia="zh-CN" w:bidi="ar-SA"/>
    </w:rPr>
  </w:style>
  <w:style w:type="character" w:customStyle="1" w:styleId="51">
    <w:name w:val="批注文字 字符"/>
    <w:basedOn w:val="25"/>
    <w:link w:val="14"/>
    <w:qFormat/>
    <w:uiPriority w:val="99"/>
    <w:rPr>
      <w:rFonts w:eastAsia="仿宋_GB2312"/>
      <w:kern w:val="2"/>
      <w:sz w:val="30"/>
      <w:szCs w:val="22"/>
    </w:rPr>
  </w:style>
  <w:style w:type="character" w:customStyle="1" w:styleId="52">
    <w:name w:val="批注主题 字符"/>
    <w:basedOn w:val="51"/>
    <w:link w:val="22"/>
    <w:semiHidden/>
    <w:qFormat/>
    <w:uiPriority w:val="99"/>
    <w:rPr>
      <w:rFonts w:eastAsia="仿宋_GB2312"/>
      <w:b/>
      <w:bCs/>
      <w:kern w:val="2"/>
      <w:sz w:val="30"/>
      <w:szCs w:val="22"/>
    </w:rPr>
  </w:style>
  <w:style w:type="character" w:customStyle="1" w:styleId="53">
    <w:name w:val="fontstyle01"/>
    <w:basedOn w:val="25"/>
    <w:qFormat/>
    <w:uiPriority w:val="0"/>
    <w:rPr>
      <w:rFonts w:hint="default" w:ascii="TimesNewRomanPSMT" w:hAnsi="TimesNewRomanPSMT"/>
      <w:color w:val="000000"/>
      <w:sz w:val="22"/>
      <w:szCs w:val="22"/>
    </w:rPr>
  </w:style>
  <w:style w:type="character" w:customStyle="1" w:styleId="54">
    <w:name w:val="fontstyle21"/>
    <w:basedOn w:val="25"/>
    <w:qFormat/>
    <w:uiPriority w:val="0"/>
    <w:rPr>
      <w:rFonts w:hint="eastAsia" w:ascii="宋体" w:hAnsi="宋体" w:eastAsia="宋体"/>
      <w:color w:val="000000"/>
      <w:sz w:val="18"/>
      <w:szCs w:val="18"/>
    </w:rPr>
  </w:style>
  <w:style w:type="paragraph" w:customStyle="1" w:styleId="55">
    <w:name w:val="修订3"/>
    <w:hidden/>
    <w:unhideWhenUsed/>
    <w:qFormat/>
    <w:uiPriority w:val="99"/>
    <w:pPr>
      <w:spacing w:after="160" w:line="278" w:lineRule="auto"/>
    </w:pPr>
    <w:rPr>
      <w:rFonts w:eastAsia="仿宋_GB2312" w:asciiTheme="minorHAnsi" w:hAnsiTheme="minorHAnsi" w:cstheme="minorBidi"/>
      <w:kern w:val="2"/>
      <w:sz w:val="30"/>
      <w:szCs w:val="22"/>
      <w:lang w:val="en-US" w:eastAsia="zh-CN" w:bidi="ar-SA"/>
    </w:rPr>
  </w:style>
  <w:style w:type="character" w:customStyle="1" w:styleId="56">
    <w:name w:val="脚注文本 字符"/>
    <w:basedOn w:val="25"/>
    <w:link w:val="19"/>
    <w:semiHidden/>
    <w:qFormat/>
    <w:uiPriority w:val="99"/>
    <w:rPr>
      <w:rFonts w:eastAsia="仿宋_GB2312"/>
      <w:kern w:val="2"/>
      <w:sz w:val="18"/>
      <w:szCs w:val="18"/>
    </w:rPr>
  </w:style>
  <w:style w:type="paragraph" w:customStyle="1" w:styleId="57">
    <w:name w:val="修订4"/>
    <w:hidden/>
    <w:unhideWhenUsed/>
    <w:qFormat/>
    <w:uiPriority w:val="99"/>
    <w:pPr>
      <w:spacing w:after="160" w:line="278" w:lineRule="auto"/>
    </w:pPr>
    <w:rPr>
      <w:rFonts w:eastAsia="仿宋_GB2312" w:asciiTheme="minorHAnsi" w:hAnsiTheme="minorHAnsi" w:cstheme="minorBidi"/>
      <w:kern w:val="2"/>
      <w:sz w:val="30"/>
      <w:szCs w:val="22"/>
      <w:lang w:val="en-US" w:eastAsia="zh-CN" w:bidi="ar-SA"/>
    </w:rPr>
  </w:style>
  <w:style w:type="paragraph" w:customStyle="1" w:styleId="58">
    <w:name w:val="TOC 标题1"/>
    <w:basedOn w:val="4"/>
    <w:next w:val="1"/>
    <w:unhideWhenUsed/>
    <w:qFormat/>
    <w:uiPriority w:val="39"/>
    <w:pPr>
      <w:widowControl/>
      <w:adjustRightInd/>
      <w:snapToGrid/>
      <w:spacing w:before="240" w:after="0" w:line="259" w:lineRule="auto"/>
      <w:ind w:firstLine="0" w:firstLineChars="0"/>
      <w:jc w:val="left"/>
      <w:outlineLvl w:val="9"/>
    </w:pPr>
    <w:rPr>
      <w:rFonts w:asciiTheme="majorHAnsi" w:hAnsiTheme="majorHAnsi" w:eastAsiaTheme="majorEastAsia"/>
      <w:color w:val="104862" w:themeColor="accent1" w:themeShade="BF"/>
      <w:kern w:val="0"/>
      <w:sz w:val="32"/>
      <w:szCs w:val="32"/>
    </w:rPr>
  </w:style>
  <w:style w:type="paragraph" w:customStyle="1" w:styleId="59">
    <w:name w:val="修订5"/>
    <w:hidden/>
    <w:unhideWhenUsed/>
    <w:qFormat/>
    <w:uiPriority w:val="99"/>
    <w:rPr>
      <w:rFonts w:eastAsia="仿宋_GB2312" w:asciiTheme="minorHAnsi" w:hAnsiTheme="minorHAnsi" w:cstheme="minorBidi"/>
      <w:kern w:val="2"/>
      <w:sz w:val="30"/>
      <w:szCs w:val="22"/>
      <w:lang w:val="en-US" w:eastAsia="zh-CN" w:bidi="ar-SA"/>
    </w:rPr>
  </w:style>
  <w:style w:type="paragraph" w:customStyle="1" w:styleId="60">
    <w:name w:val="修订6"/>
    <w:hidden/>
    <w:unhideWhenUsed/>
    <w:qFormat/>
    <w:uiPriority w:val="99"/>
    <w:rPr>
      <w:rFonts w:eastAsia="仿宋_GB2312" w:asciiTheme="minorHAnsi" w:hAnsiTheme="minorHAnsi" w:cstheme="minorBidi"/>
      <w:kern w:val="2"/>
      <w:sz w:val="30"/>
      <w:szCs w:val="22"/>
      <w:lang w:val="en-US" w:eastAsia="zh-CN" w:bidi="ar-SA"/>
    </w:rPr>
  </w:style>
  <w:style w:type="paragraph" w:customStyle="1" w:styleId="61">
    <w:name w:val="Revision"/>
    <w:hidden/>
    <w:unhideWhenUsed/>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1505</Words>
  <Characters>8579</Characters>
  <Lines>71</Lines>
  <Paragraphs>20</Paragraphs>
  <TotalTime>45</TotalTime>
  <ScaleCrop>false</ScaleCrop>
  <LinksUpToDate>false</LinksUpToDate>
  <CharactersWithSpaces>10064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2025-11-21T14:34:00Z</dcterms:created>
  <dc:creator>linting</dc:creator>
  <cp:lastModifiedBy>pc-hy</cp:lastModifiedBy>
  <cp:lastPrinted>2025-11-22T01:05:00Z</cp:lastPrinted>
  <dcterms:modified xsi:type="dcterms:W3CDTF">2025-12-08T10:55:56Z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eyJoZGlkIjoiM2ViMzI1NzRlOTFmYmFhMjIxOWYwMzFhNmE2YmE0YjQiLCJ1c2VySWQiOiI1NjgxNDU5NzkifQ==</vt:lpwstr>
  </property>
  <property fmtid="{D5CDD505-2E9C-101B-9397-08002B2CF9AE}" pid="3" name="KSOProductBuildVer">
    <vt:lpwstr>2052-11.8.2.11958</vt:lpwstr>
  </property>
  <property fmtid="{D5CDD505-2E9C-101B-9397-08002B2CF9AE}" pid="4" name="ICV">
    <vt:lpwstr>F831EC544F40E6B6E8BFEC68E58F17A5</vt:lpwstr>
  </property>
</Properties>
</file>