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snapToGrid/>
        <w:spacing w:line="560" w:lineRule="exact"/>
        <w:ind w:firstLine="0" w:firstLineChars="0"/>
        <w:jc w:val="both"/>
        <w:rPr>
          <w:rFonts w:hint="eastAsia" w:ascii="黑体" w:hAnsi="黑体" w:eastAsia="黑体" w:cs="黑体"/>
          <w:spacing w:val="-11"/>
          <w:sz w:val="32"/>
          <w:szCs w:val="32"/>
          <w:lang w:val="en-US" w:eastAsia="zh-CN"/>
        </w:rPr>
      </w:pPr>
      <w:r>
        <w:rPr>
          <w:rFonts w:hint="eastAsia" w:ascii="黑体" w:hAnsi="黑体" w:eastAsia="黑体" w:cs="黑体"/>
          <w:spacing w:val="-11"/>
          <w:sz w:val="32"/>
          <w:szCs w:val="32"/>
          <w:lang w:eastAsia="zh-CN"/>
        </w:rPr>
        <w:t>附件</w:t>
      </w:r>
      <w:r>
        <w:rPr>
          <w:rFonts w:hint="eastAsia" w:ascii="黑体" w:hAnsi="黑体" w:eastAsia="黑体" w:cs="黑体"/>
          <w:spacing w:val="-11"/>
          <w:sz w:val="32"/>
          <w:szCs w:val="32"/>
          <w:lang w:val="en-US" w:eastAsia="zh-CN"/>
        </w:rPr>
        <w:t>2</w:t>
      </w:r>
    </w:p>
    <w:p>
      <w:pPr>
        <w:adjustRightInd/>
        <w:snapToGrid/>
        <w:spacing w:line="560" w:lineRule="exact"/>
        <w:ind w:firstLine="836" w:firstLineChars="200"/>
        <w:jc w:val="both"/>
        <w:rPr>
          <w:rFonts w:hint="eastAsia" w:ascii="方正小标宋_GBK" w:eastAsia="方正小标宋_GBK" w:hAnsiTheme="minorHAnsi"/>
          <w:spacing w:val="-11"/>
          <w:sz w:val="44"/>
          <w:szCs w:val="22"/>
        </w:rPr>
      </w:pPr>
    </w:p>
    <w:p>
      <w:pPr>
        <w:adjustRightInd/>
        <w:snapToGrid/>
        <w:spacing w:line="560" w:lineRule="exact"/>
        <w:ind w:firstLine="0" w:firstLineChars="0"/>
        <w:jc w:val="center"/>
        <w:rPr>
          <w:rFonts w:hint="eastAsia" w:ascii="方正小标宋_GBK" w:eastAsia="方正小标宋_GBK" w:hAnsiTheme="minorHAnsi"/>
          <w:spacing w:val="-11"/>
          <w:sz w:val="44"/>
          <w:szCs w:val="22"/>
        </w:rPr>
      </w:pPr>
      <w:r>
        <w:rPr>
          <w:rFonts w:hint="eastAsia" w:ascii="方正小标宋_GBK" w:eastAsia="方正小标宋_GBK" w:hAnsiTheme="minorHAnsi"/>
          <w:spacing w:val="-11"/>
          <w:sz w:val="44"/>
          <w:szCs w:val="22"/>
        </w:rPr>
        <w:t>《深圳市土壤污染重点监管单位边生产边管控</w:t>
      </w:r>
    </w:p>
    <w:p>
      <w:pPr>
        <w:adjustRightInd/>
        <w:snapToGrid/>
        <w:spacing w:line="560" w:lineRule="exact"/>
        <w:ind w:firstLine="0" w:firstLineChars="0"/>
        <w:jc w:val="center"/>
        <w:rPr>
          <w:rFonts w:hint="eastAsia" w:ascii="方正小标宋_GBK" w:eastAsia="方正小标宋_GBK" w:hAnsiTheme="minorHAnsi"/>
          <w:spacing w:val="-11"/>
          <w:sz w:val="44"/>
          <w:szCs w:val="22"/>
        </w:rPr>
      </w:pPr>
      <w:r>
        <w:rPr>
          <w:rFonts w:hint="eastAsia" w:ascii="方正小标宋_GBK" w:eastAsia="方正小标宋_GBK" w:hAnsiTheme="minorHAnsi"/>
          <w:spacing w:val="-11"/>
          <w:sz w:val="44"/>
          <w:szCs w:val="22"/>
        </w:rPr>
        <w:t>技术指引（征求意见稿）》编制说明</w:t>
      </w:r>
    </w:p>
    <w:p>
      <w:pPr>
        <w:spacing w:line="560" w:lineRule="exact"/>
        <w:ind w:firstLine="880" w:firstLineChars="200"/>
        <w:jc w:val="both"/>
        <w:rPr>
          <w:rFonts w:ascii="方正小标宋_GBK" w:eastAsia="方正小标宋_GBK"/>
          <w:sz w:val="44"/>
          <w:szCs w:val="48"/>
        </w:rPr>
      </w:pPr>
      <w:bookmarkStart w:id="10" w:name="_GoBack"/>
      <w:bookmarkEnd w:id="10"/>
    </w:p>
    <w:p>
      <w:pPr>
        <w:pStyle w:val="4"/>
        <w:spacing w:line="560" w:lineRule="exact"/>
        <w:ind w:firstLine="836"/>
        <w:rPr>
          <w:rFonts w:ascii="Times New Roman" w:hAnsi="Times New Roman" w:eastAsia="黑体"/>
          <w:color w:val="000000" w:themeColor="text1"/>
          <w:sz w:val="32"/>
          <w14:textFill>
            <w14:solidFill>
              <w14:schemeClr w14:val="tx1"/>
            </w14:solidFill>
          </w14:textFill>
        </w:rPr>
      </w:pPr>
      <w:r>
        <w:rPr>
          <w:rFonts w:hint="eastAsia" w:ascii="Times New Roman" w:hAnsi="Times New Roman" w:eastAsia="黑体"/>
          <w:color w:val="000000" w:themeColor="text1"/>
          <w:sz w:val="32"/>
          <w14:textFill>
            <w14:solidFill>
              <w14:schemeClr w14:val="tx1"/>
            </w14:solidFill>
          </w14:textFill>
        </w:rPr>
        <w:t>一、编制背景</w:t>
      </w:r>
    </w:p>
    <w:p>
      <w:pPr>
        <w:spacing w:line="560" w:lineRule="exact"/>
        <w:ind w:firstLine="836"/>
        <w:rPr>
          <w:rFonts w:hint="eastAsia" w:ascii="仿宋_GB2312" w:hAnsi="仿宋_GB2312" w:cs="仿宋_GB2312"/>
        </w:rPr>
      </w:pPr>
      <w:r>
        <w:rPr>
          <w:rFonts w:hint="eastAsia" w:ascii="仿宋_GB2312" w:hAnsi="仿宋_GB2312" w:cs="仿宋_GB2312"/>
        </w:rPr>
        <w:t>土壤和地下水污染防治是生态环境保护的重要内容，直接关系到人居环境安全和经济社会可持续发展。从国家到地方层面，均通过法律法规、规划文件等形式，明确土壤污染重点监管单位的责任义务，并为“边生产边管控”模式的探索提供政策依据与方向指引。在法律义务层面，</w:t>
      </w:r>
      <w:bookmarkStart w:id="0" w:name="OLE_LINK11"/>
      <w:bookmarkStart w:id="1" w:name="OLE_LINK10"/>
      <w:r>
        <w:rPr>
          <w:rFonts w:hint="eastAsia" w:ascii="仿宋_GB2312" w:hAnsi="仿宋_GB2312" w:cs="仿宋_GB2312"/>
        </w:rPr>
        <w:t>《中华人民共和国土壤污染防治法》</w:t>
      </w:r>
      <w:bookmarkEnd w:id="0"/>
      <w:r>
        <w:rPr>
          <w:rFonts w:hint="eastAsia" w:ascii="仿宋_GB2312" w:hAnsi="仿宋_GB2312" w:cs="仿宋_GB2312"/>
        </w:rPr>
        <w:t>第二十一条</w:t>
      </w:r>
      <w:bookmarkEnd w:id="1"/>
      <w:r>
        <w:rPr>
          <w:rFonts w:hint="eastAsia" w:ascii="仿宋_GB2312" w:hAnsi="仿宋_GB2312" w:cs="仿宋_GB2312"/>
        </w:rPr>
        <w:t>明确了土壤污染重点监管单位（以下简称</w:t>
      </w:r>
      <w:bookmarkStart w:id="2" w:name="OLE_LINK5"/>
      <w:r>
        <w:rPr>
          <w:rFonts w:hint="eastAsia" w:ascii="仿宋_GB2312" w:hAnsi="仿宋_GB2312" w:cs="仿宋_GB2312"/>
        </w:rPr>
        <w:t>重点监管单位</w:t>
      </w:r>
      <w:bookmarkEnd w:id="2"/>
      <w:r>
        <w:rPr>
          <w:rFonts w:hint="eastAsia" w:ascii="仿宋_GB2312" w:hAnsi="仿宋_GB2312" w:cs="仿宋_GB2312"/>
        </w:rPr>
        <w:t>）的核心责任，要求其建立土壤污染隐患排查制度，保证持续有效防止有毒有害物质渗漏、流失、扬散</w:t>
      </w:r>
      <w:bookmarkStart w:id="3" w:name="OLE_LINK4"/>
      <w:r>
        <w:rPr>
          <w:rFonts w:hint="eastAsia" w:ascii="仿宋_GB2312" w:hAnsi="仿宋_GB2312" w:cs="仿宋_GB2312"/>
        </w:rPr>
        <w:t>。</w:t>
      </w:r>
      <w:bookmarkStart w:id="4" w:name="OLE_LINK12"/>
      <w:r>
        <w:rPr>
          <w:rFonts w:hint="eastAsia" w:ascii="仿宋_GB2312" w:hAnsi="仿宋_GB2312" w:cs="仿宋_GB2312"/>
        </w:rPr>
        <w:t>《工矿用地土壤环境管理办法（试行）》</w:t>
      </w:r>
      <w:bookmarkEnd w:id="4"/>
      <w:r>
        <w:rPr>
          <w:rFonts w:hint="eastAsia" w:ascii="仿宋_GB2312" w:hAnsi="仿宋_GB2312" w:cs="仿宋_GB2312"/>
        </w:rPr>
        <w:t>第十一条</w:t>
      </w:r>
      <w:bookmarkEnd w:id="3"/>
      <w:r>
        <w:rPr>
          <w:rFonts w:hint="eastAsia" w:ascii="仿宋_GB2312" w:hAnsi="仿宋_GB2312" w:cs="仿宋_GB2312"/>
        </w:rPr>
        <w:t>明确重点监管单位需同步建立土壤和地下水污染隐患排查治理制度，定期对重点区域、重点设施开展隐患排查。第十</w:t>
      </w:r>
      <w:r>
        <w:rPr>
          <w:rFonts w:hint="eastAsia" w:ascii="仿宋_GB2312" w:hAnsi="仿宋_GB2312" w:cs="仿宋_GB2312"/>
          <w:color w:val="auto"/>
        </w:rPr>
        <w:t>三</w:t>
      </w:r>
      <w:r>
        <w:rPr>
          <w:rFonts w:hint="eastAsia" w:ascii="仿宋_GB2312" w:hAnsi="仿宋_GB2312" w:cs="仿宋_GB2312"/>
        </w:rPr>
        <w:t>条明确重点单位在隐患排查、监测等活动中发现工矿用地土壤和地下水存在污染迹象的，应当排查污染源，查明污染原因，采取措施防止新增污染，并参照污染地块土壤环境管理有关规定及时开展土壤和地下水环境调查与风险评估，根据调查与风险评估结果采取风险管控或者治理与修复等措施。《土壤污染源头防控行动计划》（环土壤〔2024〕80号）则在此基础上提出量化目标，要求“到2027年，土壤污染源头防控取得明显成效，土壤污染重点监管单位隐患排查整改合格率达到90%以上”，为重点监管单位的污染防控工作设定了清晰的阶段性目标。在实践探索层面，国家、广东省、深圳市的</w:t>
      </w:r>
      <w:bookmarkStart w:id="5" w:name="OLE_LINK1"/>
      <w:r>
        <w:rPr>
          <w:rFonts w:hint="eastAsia" w:ascii="仿宋_GB2312" w:hAnsi="仿宋_GB2312" w:cs="仿宋_GB2312"/>
        </w:rPr>
        <w:t>规划文件</w:t>
      </w:r>
      <w:bookmarkEnd w:id="5"/>
      <w:r>
        <w:rPr>
          <w:rFonts w:hint="eastAsia" w:ascii="仿宋_GB2312" w:hAnsi="仿宋_GB2312" w:cs="仿宋_GB2312"/>
        </w:rPr>
        <w:t>逐步聚焦“边生产边管控”这一关键模式，推动在产企业平衡生产经营与污染防控的关系。《“十四五”土壤、地下水和农村生态环境保护规划》（环土壤〔2021〕120号）在“推进土壤污染防治”部分明确提出，以化工等行业企业为重点，鼓励采用原位风险管控或修复技术，探索在产企业边生产边管控土壤污染风险模式，为全国范围内的模式探索提供顶层设计。广东省紧随国家部署，在《广东省“十四五”土壤与地下水污染防治规划》（粤环〔2022〕8号）“有效管控建设用地土壤污染风险”章节中，进一步倡导通过污染阻隔、监测自然衰减等原位技术，推进在产企业边生产边管控模式落地。深圳结合本地产业实际，在《深圳市土壤污染防治规划（2022-2025年）》（深环〔2022〕232号）“加强土壤污染源头防控”部分细化要求，既督促发现污染迹象的重点监管单位开展成因排查与整治，又明确鼓励在产企业主动探索边生产边管控模式。</w:t>
      </w:r>
    </w:p>
    <w:p>
      <w:pPr>
        <w:spacing w:line="560" w:lineRule="exact"/>
        <w:ind w:firstLine="836"/>
      </w:pPr>
      <w:r>
        <w:rPr>
          <w:rFonts w:hint="eastAsia" w:ascii="仿宋_GB2312" w:hAnsi="仿宋_GB2312" w:cs="仿宋_GB2312"/>
        </w:rPr>
        <w:t>深圳市作为工业发达城市，重点监管单位数量较多，部分企业在生产经营过程中面临土壤和地下水污染管控与生产活动协调的难题，缺乏系统、具体的技术指导。而现有相关标准规范多聚焦于地块污染后修复或停产状态下的管控修复，针对边生产边</w:t>
      </w:r>
      <w:r>
        <w:t>管控的专项技术指引存在空白，导致企业在保障安全生产的同时，难以科学有效开展土壤和地下水污染防控工作，存在污染扩散、风险加剧的潜在隐患。</w:t>
      </w:r>
    </w:p>
    <w:p>
      <w:pPr>
        <w:spacing w:line="560" w:lineRule="exact"/>
        <w:ind w:firstLine="836"/>
      </w:pPr>
      <w:r>
        <w:t>为贯彻落实相关法律法规</w:t>
      </w:r>
      <w:r>
        <w:rPr>
          <w:rFonts w:hint="eastAsia"/>
        </w:rPr>
        <w:t>和规划文件</w:t>
      </w:r>
      <w:r>
        <w:t>要求，规范重点监管单位边生产边管控工作流程，明确技术</w:t>
      </w:r>
      <w:r>
        <w:rPr>
          <w:rFonts w:hint="eastAsia"/>
        </w:rPr>
        <w:t>路径</w:t>
      </w:r>
      <w:r>
        <w:t>，防范污染加重和扩散，保障企业内人群健康及周边敏感受体环境安全，深圳市生态环境局组织编制《深圳市土壤污染重点监管单位边生产边管控技术指引》（以下简称</w:t>
      </w:r>
      <w:bookmarkStart w:id="6" w:name="OLE_LINK2"/>
      <w:r>
        <w:t>《</w:t>
      </w:r>
      <w:r>
        <w:rPr>
          <w:rFonts w:hint="eastAsia"/>
        </w:rPr>
        <w:t>技术</w:t>
      </w:r>
      <w:r>
        <w:t>指引》</w:t>
      </w:r>
      <w:bookmarkEnd w:id="6"/>
      <w:r>
        <w:t>）。</w:t>
      </w:r>
    </w:p>
    <w:p>
      <w:pPr>
        <w:pStyle w:val="4"/>
        <w:spacing w:line="560" w:lineRule="exact"/>
        <w:ind w:firstLine="836"/>
        <w:rPr>
          <w:rFonts w:ascii="Times New Roman" w:hAnsi="Times New Roman" w:eastAsia="黑体"/>
          <w:color w:val="000000" w:themeColor="text1"/>
          <w:sz w:val="32"/>
          <w14:textFill>
            <w14:solidFill>
              <w14:schemeClr w14:val="tx1"/>
            </w14:solidFill>
          </w14:textFill>
        </w:rPr>
      </w:pPr>
      <w:r>
        <w:rPr>
          <w:rFonts w:hint="eastAsia" w:ascii="Times New Roman" w:hAnsi="Times New Roman" w:eastAsia="黑体"/>
          <w:color w:val="000000" w:themeColor="text1"/>
          <w:sz w:val="32"/>
          <w14:textFill>
            <w14:solidFill>
              <w14:schemeClr w14:val="tx1"/>
            </w14:solidFill>
          </w14:textFill>
        </w:rPr>
        <w:t>二、编制思路</w:t>
      </w:r>
    </w:p>
    <w:p>
      <w:pPr>
        <w:pStyle w:val="5"/>
        <w:spacing w:line="560" w:lineRule="exact"/>
        <w:ind w:firstLine="836"/>
        <w:rPr>
          <w:rFonts w:hint="eastAsia"/>
          <w:color w:val="auto"/>
        </w:rPr>
      </w:pPr>
      <w:r>
        <w:rPr>
          <w:rFonts w:hint="eastAsia"/>
          <w:color w:val="auto"/>
        </w:rPr>
        <w:t>（一）紧扣法律法规和规划文件要求</w:t>
      </w:r>
    </w:p>
    <w:p>
      <w:pPr>
        <w:spacing w:line="560" w:lineRule="exact"/>
        <w:ind w:firstLine="836"/>
      </w:pPr>
      <w:r>
        <w:t>严格依据相关法律法规、标准规范，确保《</w:t>
      </w:r>
      <w:r>
        <w:rPr>
          <w:rFonts w:hint="eastAsia"/>
        </w:rPr>
        <w:t>技术</w:t>
      </w:r>
      <w:r>
        <w:t>指引》</w:t>
      </w:r>
      <w:r>
        <w:rPr>
          <w:rFonts w:hint="eastAsia"/>
        </w:rPr>
        <w:t>的</w:t>
      </w:r>
      <w:r>
        <w:t>内容合法合规，符合土壤污染源头防控、风险管控的总体要求，衔接《重点监管单位土壤污染隐患排查指南（试行）》《工业企业土壤和地下水自行监测技术指南（试行）》等现有技术文件，保持政策与技术的一致性。</w:t>
      </w:r>
    </w:p>
    <w:p>
      <w:pPr>
        <w:pStyle w:val="5"/>
        <w:spacing w:line="560" w:lineRule="exact"/>
        <w:ind w:firstLine="836"/>
        <w:rPr>
          <w:rFonts w:hint="eastAsia"/>
          <w:color w:val="auto"/>
        </w:rPr>
      </w:pPr>
      <w:r>
        <w:rPr>
          <w:rFonts w:hint="eastAsia"/>
          <w:color w:val="auto"/>
        </w:rPr>
        <w:t>（二）聚焦企业实际需求与长远效益</w:t>
      </w:r>
    </w:p>
    <w:p>
      <w:pPr>
        <w:spacing w:line="560" w:lineRule="exact"/>
        <w:ind w:firstLine="836"/>
      </w:pPr>
      <w:r>
        <w:rPr>
          <w:rFonts w:hint="eastAsia"/>
        </w:rPr>
        <w:t>当前国家层面已明确重点监管单位相关法定责任，但缺乏针对边生产边管控的专项技术要求，导致企业虽有合规义务，却无具体技术路径支撑。</w:t>
      </w:r>
      <w:r>
        <w:t>《</w:t>
      </w:r>
      <w:r>
        <w:rPr>
          <w:rFonts w:hint="eastAsia"/>
        </w:rPr>
        <w:t>技术</w:t>
      </w:r>
      <w:r>
        <w:t>指引》</w:t>
      </w:r>
      <w:r>
        <w:rPr>
          <w:rFonts w:hint="eastAsia"/>
        </w:rPr>
        <w:t>立足深圳市重点监管单位生产经营特点，既针对企业在边生产边管控过程中面临的风险判定难、监测预警不规范、污染溯源无方向、管控修复与生产协调难等现实问题，提供可操作的技术方案，兼顾科学性与实用性，让企业能够结合自身情况灵活应用。同时充分考虑企业经济成本负担，通过引导企业在生产过程中同步开展污染管控，实现“早发现、早处置”，避免污染长期累积后，在企业关闭搬迁阶段因土壤和地下水污染程度加重，需承担高额的集中修复费用，帮助企业以更低成本化解环境风险，实现环境管理与生产经营的长期协同。</w:t>
      </w:r>
    </w:p>
    <w:p>
      <w:pPr>
        <w:pStyle w:val="5"/>
        <w:spacing w:line="560" w:lineRule="exact"/>
        <w:ind w:firstLine="836"/>
        <w:rPr>
          <w:rFonts w:hint="eastAsia"/>
          <w:color w:val="auto"/>
        </w:rPr>
      </w:pPr>
      <w:r>
        <w:rPr>
          <w:rFonts w:hint="eastAsia"/>
          <w:color w:val="auto"/>
        </w:rPr>
        <w:t>（三）坚持风险防控导向与企业自主原则</w:t>
      </w:r>
    </w:p>
    <w:p>
      <w:pPr>
        <w:spacing w:line="560" w:lineRule="exact"/>
        <w:ind w:firstLine="836"/>
        <w:rPr>
          <w:rFonts w:hint="eastAsia" w:ascii="仿宋_GB2312" w:hAnsi="仿宋_GB2312" w:cs="仿宋_GB2312"/>
        </w:rPr>
      </w:pPr>
      <w:r>
        <w:rPr>
          <w:rFonts w:hint="eastAsia" w:ascii="仿宋_GB2312" w:hAnsi="仿宋_GB2312" w:cs="仿宋_GB2312"/>
        </w:rPr>
        <w:t>以“预防为主、风险管控”为核心，突出边生产边管控的特殊性：一方面，在技术体系设计中充分考虑企业生产安全底线，所有管控措施均以保障企业安全生产不受影响为前提，构建风险判定、监测预警、污染溯源、切断源头、管控修复、效果评估全流程技术体系，确保污染不加重、不扩散，实现环境效益与经济效益的平衡；另一方面，明确</w:t>
      </w:r>
      <w:bookmarkStart w:id="7" w:name="OLE_LINK3"/>
      <w:r>
        <w:rPr>
          <w:rFonts w:hint="eastAsia" w:ascii="仿宋_GB2312" w:hAnsi="仿宋_GB2312" w:cs="仿宋_GB2312"/>
        </w:rPr>
        <w:t>《技术指引》</w:t>
      </w:r>
      <w:bookmarkEnd w:id="7"/>
      <w:r>
        <w:rPr>
          <w:rFonts w:hint="eastAsia" w:ascii="仿宋_GB2312" w:hAnsi="仿宋_GB2312" w:cs="仿宋_GB2312"/>
        </w:rPr>
        <w:t>在技术层面的非强制性属性，企业可根据自身污染风险情况、生产经营安排及成本承受能力，自主选择是否采用</w:t>
      </w:r>
      <w:bookmarkStart w:id="8" w:name="OLE_LINK6"/>
      <w:r>
        <w:rPr>
          <w:rFonts w:hint="eastAsia" w:ascii="仿宋_GB2312" w:hAnsi="仿宋_GB2312" w:cs="仿宋_GB2312"/>
        </w:rPr>
        <w:t>《技术指引》</w:t>
      </w:r>
      <w:bookmarkEnd w:id="8"/>
      <w:r>
        <w:rPr>
          <w:rFonts w:hint="eastAsia" w:ascii="仿宋_GB2312" w:hAnsi="仿宋_GB2312" w:cs="仿宋_GB2312"/>
        </w:rPr>
        <w:t>的方式，或《技术指引》中的基础措施或强化措施。需特别说明的是，本指引不免除企业应遵守《中华人民共和国土壤污染防治法》《工矿用地土壤环境管理办法》等国家法律法规中规定的各项强制性义务。</w:t>
      </w:r>
    </w:p>
    <w:p>
      <w:pPr>
        <w:pStyle w:val="4"/>
        <w:spacing w:line="560" w:lineRule="exact"/>
        <w:ind w:firstLine="836"/>
        <w:rPr>
          <w:rFonts w:ascii="Times New Roman" w:hAnsi="Times New Roman" w:eastAsia="黑体"/>
          <w:color w:val="000000" w:themeColor="text1"/>
          <w:sz w:val="32"/>
          <w14:textFill>
            <w14:solidFill>
              <w14:schemeClr w14:val="tx1"/>
            </w14:solidFill>
          </w14:textFill>
        </w:rPr>
      </w:pPr>
      <w:r>
        <w:rPr>
          <w:rFonts w:hint="eastAsia" w:ascii="Times New Roman" w:hAnsi="Times New Roman" w:eastAsia="黑体"/>
          <w:color w:val="000000" w:themeColor="text1"/>
          <w:sz w:val="32"/>
          <w14:textFill>
            <w14:solidFill>
              <w14:schemeClr w14:val="tx1"/>
            </w14:solidFill>
          </w14:textFill>
        </w:rPr>
        <w:t>三、工作过程</w:t>
      </w:r>
    </w:p>
    <w:p>
      <w:pPr>
        <w:spacing w:line="560" w:lineRule="exact"/>
        <w:ind w:firstLine="836"/>
        <w:rPr>
          <w:rFonts w:hint="eastAsia" w:ascii="仿宋_GB2312" w:hAnsi="仿宋_GB2312" w:cs="仿宋_GB2312"/>
        </w:rPr>
      </w:pPr>
      <w:r>
        <w:rPr>
          <w:rFonts w:hint="eastAsia" w:ascii="仿宋_GB2312" w:hAnsi="仿宋_GB2312" w:cs="仿宋_GB2312"/>
        </w:rPr>
        <w:t>2024年3月成立编制组，启动《技术指引》制订前期研究工作。筛选1家重点行业典型在产企业作为试点，开展土壤和地下水关键污染物连续监测，在此基础上进行土壤和地下水污染监测预警技术设计以及土壤和地下水污染监测预警工具研发，为</w:t>
      </w:r>
      <w:bookmarkStart w:id="9" w:name="OLE_LINK9"/>
      <w:r>
        <w:rPr>
          <w:rFonts w:hint="eastAsia" w:ascii="仿宋_GB2312" w:hAnsi="仿宋_GB2312" w:cs="仿宋_GB2312"/>
        </w:rPr>
        <w:t>《技术指引》</w:t>
      </w:r>
      <w:bookmarkEnd w:id="9"/>
      <w:r>
        <w:rPr>
          <w:rFonts w:hint="eastAsia" w:ascii="仿宋_GB2312" w:hAnsi="仿宋_GB2312" w:cs="仿宋_GB2312"/>
        </w:rPr>
        <w:t>编制积累了可落地、可推广的实践经验。</w:t>
      </w:r>
    </w:p>
    <w:p>
      <w:pPr>
        <w:spacing w:line="560" w:lineRule="exact"/>
        <w:ind w:firstLine="836"/>
        <w:rPr>
          <w:rFonts w:hint="eastAsia" w:ascii="仿宋_GB2312" w:hAnsi="仿宋_GB2312" w:cs="仿宋_GB2312"/>
        </w:rPr>
      </w:pPr>
      <w:r>
        <w:rPr>
          <w:rFonts w:hint="eastAsia" w:ascii="仿宋_GB2312" w:hAnsi="仿宋_GB2312" w:cs="仿宋_GB2312"/>
        </w:rPr>
        <w:t>2025年9月，编制组邀请了中国科学院南京土壤研究所、生态环境部华南环境科学研究所等权威专家以及土壤污染重点监管单位代表对《技术指引》进行咨询论证，根据专家意见修改完善《技术指引》。</w:t>
      </w:r>
    </w:p>
    <w:p>
      <w:pPr>
        <w:spacing w:line="560" w:lineRule="exact"/>
        <w:ind w:firstLine="836"/>
        <w:rPr>
          <w:rFonts w:hint="eastAsia" w:ascii="仿宋_GB2312" w:hAnsi="仿宋_GB2312" w:cs="仿宋_GB2312"/>
        </w:rPr>
      </w:pPr>
      <w:r>
        <w:rPr>
          <w:rFonts w:hint="eastAsia" w:ascii="仿宋_GB2312" w:hAnsi="仿宋_GB2312" w:cs="仿宋_GB2312"/>
          <w:color w:val="auto"/>
          <w:szCs w:val="24"/>
        </w:rPr>
        <w:t>2025年10月，</w:t>
      </w:r>
      <w:r>
        <w:rPr>
          <w:rFonts w:hint="eastAsia" w:ascii="仿宋_GB2312" w:hAnsi="仿宋_GB2312" w:cs="仿宋_GB2312"/>
        </w:rPr>
        <w:t>编制组</w:t>
      </w:r>
      <w:r>
        <w:rPr>
          <w:rFonts w:hint="eastAsia" w:ascii="仿宋_GB2312" w:hAnsi="仿宋_GB2312" w:cs="仿宋_GB2312"/>
          <w:color w:val="auto"/>
          <w:szCs w:val="24"/>
        </w:rPr>
        <w:t>向局内各处室、各区（新区、合作区）管理局、土壤污染重点监管单位代表、土壤环境管理技术支撑单位等征求意见。</w:t>
      </w:r>
      <w:r>
        <w:rPr>
          <w:rFonts w:hint="eastAsia" w:ascii="仿宋_GB2312" w:hAnsi="仿宋_GB2312" w:cs="仿宋_GB2312"/>
        </w:rPr>
        <w:t>2025年11月，编制组根据各部门意见，对《技术指引》及编制说明进一步修改完善，形成本稿。</w:t>
      </w:r>
    </w:p>
    <w:p>
      <w:pPr>
        <w:spacing w:line="560" w:lineRule="exact"/>
        <w:ind w:firstLine="836"/>
        <w:rPr>
          <w:rFonts w:eastAsia="黑体"/>
          <w:color w:val="auto"/>
        </w:rPr>
      </w:pPr>
      <w:r>
        <w:rPr>
          <w:rFonts w:hint="eastAsia" w:eastAsia="黑体"/>
          <w:color w:val="auto"/>
        </w:rPr>
        <w:t>四、主要内容</w:t>
      </w:r>
    </w:p>
    <w:p>
      <w:pPr>
        <w:pStyle w:val="5"/>
        <w:spacing w:line="560" w:lineRule="exact"/>
        <w:ind w:firstLine="836"/>
        <w:rPr>
          <w:rFonts w:hint="eastAsia"/>
          <w:color w:val="auto"/>
        </w:rPr>
      </w:pPr>
      <w:r>
        <w:rPr>
          <w:rFonts w:hint="eastAsia"/>
          <w:color w:val="auto"/>
        </w:rPr>
        <w:t>（一）明确定义与适用范围</w:t>
      </w:r>
    </w:p>
    <w:p>
      <w:pPr>
        <w:spacing w:line="560" w:lineRule="exact"/>
        <w:ind w:firstLine="836"/>
      </w:pPr>
      <w:r>
        <w:t>界定边生产边管控的核心内涵，即保障重点监管单位安全生产前提下，</w:t>
      </w:r>
      <w:r>
        <w:rPr>
          <w:b w:val="0"/>
          <w:bCs w:val="0"/>
        </w:rPr>
        <w:t>渐进式</w:t>
      </w:r>
      <w:r>
        <w:t>开展土壤和地下水污染管控或修复活动，确保污染不加重、不扩散。明确《技术指引》适用于深圳市重点监管单位，其他一般在产企业可参照执行。</w:t>
      </w:r>
    </w:p>
    <w:p>
      <w:pPr>
        <w:spacing w:line="560" w:lineRule="exact"/>
        <w:ind w:firstLine="836"/>
        <w:rPr>
          <w:szCs w:val="24"/>
        </w:rPr>
      </w:pPr>
      <w:r>
        <w:rPr>
          <w:rFonts w:hint="eastAsia"/>
        </w:rPr>
        <w:t>同时强调了</w:t>
      </w:r>
      <w:r>
        <w:rPr>
          <w:rFonts w:hint="eastAsia"/>
          <w:szCs w:val="24"/>
        </w:rPr>
        <w:t>本指引为推荐性技术文件，企业在组织实施边生产边管控工作时可作为技术参考。但需特别说明，本指引不免除企业应遵守</w:t>
      </w:r>
      <w:r>
        <w:rPr>
          <w:rFonts w:hint="eastAsia" w:cs="仿宋_GB2312"/>
          <w:szCs w:val="32"/>
        </w:rPr>
        <w:t>《中华人民共和国土壤污染防治法》</w:t>
      </w:r>
      <w:r>
        <w:rPr>
          <w:rFonts w:hint="eastAsia"/>
          <w:szCs w:val="24"/>
        </w:rPr>
        <w:t>《工矿用地土壤环境管理办法》等国家法律法规中规定的各项强制性义务。</w:t>
      </w:r>
    </w:p>
    <w:p>
      <w:pPr>
        <w:pStyle w:val="5"/>
        <w:spacing w:line="560" w:lineRule="exact"/>
        <w:ind w:firstLine="836"/>
        <w:rPr>
          <w:rFonts w:hint="eastAsia"/>
          <w:color w:val="auto"/>
        </w:rPr>
      </w:pPr>
      <w:r>
        <w:rPr>
          <w:rFonts w:hint="eastAsia"/>
          <w:color w:val="auto"/>
        </w:rPr>
        <w:t>（二）规范工作内容与方式</w:t>
      </w:r>
    </w:p>
    <w:p>
      <w:pPr>
        <w:spacing w:line="560" w:lineRule="exact"/>
        <w:ind w:firstLine="836"/>
      </w:pPr>
      <w:r>
        <w:t>边生产边管控工作</w:t>
      </w:r>
      <w:r>
        <w:rPr>
          <w:rFonts w:hint="eastAsia"/>
        </w:rPr>
        <w:t>应</w:t>
      </w:r>
      <w:r>
        <w:t>遵循</w:t>
      </w:r>
      <w:r>
        <w:rPr>
          <w:b w:val="0"/>
          <w:bCs w:val="0"/>
        </w:rPr>
        <w:t>渐进式推进原则</w:t>
      </w:r>
      <w:r>
        <w:rPr>
          <w:rFonts w:hint="eastAsia"/>
          <w:b/>
          <w:bCs/>
        </w:rPr>
        <w:t>，</w:t>
      </w:r>
      <w:r>
        <w:rPr>
          <w:rFonts w:hint="eastAsia"/>
        </w:rPr>
        <w:t>各</w:t>
      </w:r>
      <w:r>
        <w:t>阶段依次开展、逐步深入</w:t>
      </w:r>
      <w:r>
        <w:rPr>
          <w:rFonts w:hint="eastAsia"/>
        </w:rPr>
        <w:t>，具体</w:t>
      </w:r>
      <w:r>
        <w:t>内容包括土壤和地下水污染风险判定、监测预警、污染溯源、切断源头、管控修复、效果评估六大环节。各环节层层递进、衔接形成完整工作闭环</w:t>
      </w:r>
      <w:r>
        <w:rPr>
          <w:rFonts w:hint="eastAsia"/>
        </w:rPr>
        <w:t>。</w:t>
      </w:r>
    </w:p>
    <w:p>
      <w:pPr>
        <w:spacing w:line="560" w:lineRule="exact"/>
        <w:ind w:firstLine="836"/>
      </w:pPr>
      <w:r>
        <w:t>提出</w:t>
      </w:r>
      <w:r>
        <w:rPr>
          <w:rFonts w:hint="eastAsia"/>
        </w:rPr>
        <w:t>了</w:t>
      </w:r>
      <w:r>
        <w:t>基础措施与强化措施相结合的工作方式，基础措施突出简单易行，供重点监管单位优先采用；强化措施针对复杂情况，提供升级版技术方案。</w:t>
      </w:r>
    </w:p>
    <w:p>
      <w:pPr>
        <w:pStyle w:val="5"/>
        <w:spacing w:line="560" w:lineRule="exact"/>
        <w:ind w:firstLine="836"/>
        <w:rPr>
          <w:rFonts w:hint="eastAsia"/>
          <w:color w:val="auto"/>
        </w:rPr>
      </w:pPr>
      <w:r>
        <w:rPr>
          <w:rFonts w:hint="eastAsia"/>
          <w:color w:val="auto"/>
        </w:rPr>
        <w:t>（三）细化关键环节技术措施</w:t>
      </w:r>
    </w:p>
    <w:p>
      <w:pPr>
        <w:numPr>
          <w:ilvl w:val="-1"/>
          <w:numId w:val="0"/>
        </w:numPr>
        <w:spacing w:line="560" w:lineRule="exact"/>
        <w:ind w:left="0" w:leftChars="0" w:firstLine="640"/>
        <w:rPr>
          <w:rFonts w:hint="eastAsia" w:ascii="仿宋_GB2312" w:hAnsi="仿宋_GB2312" w:cs="仿宋_GB2312"/>
        </w:rPr>
      </w:pPr>
      <w:r>
        <w:rPr>
          <w:rFonts w:hint="eastAsia" w:ascii="仿宋_GB2312" w:hAnsi="仿宋_GB2312" w:cs="仿宋_GB2312"/>
          <w:lang w:val="en-US" w:eastAsia="zh-CN"/>
        </w:rPr>
        <w:t>1.</w:t>
      </w:r>
      <w:r>
        <w:rPr>
          <w:rFonts w:hint="eastAsia" w:ascii="仿宋_GB2312" w:hAnsi="仿宋_GB2312" w:cs="仿宋_GB2312"/>
        </w:rPr>
        <w:t>污染风险判定：明确六大类风险判定情形，涵盖监测数据异常、快速筛查异常、突发环境事件影响等场景，为识别污染风险提供明确依据。</w:t>
      </w:r>
    </w:p>
    <w:p>
      <w:pPr>
        <w:numPr>
          <w:ilvl w:val="-1"/>
          <w:numId w:val="0"/>
        </w:numPr>
        <w:spacing w:line="560" w:lineRule="exact"/>
        <w:ind w:left="0" w:leftChars="0" w:firstLine="640"/>
        <w:rPr>
          <w:rFonts w:hint="eastAsia" w:ascii="仿宋_GB2312" w:hAnsi="仿宋_GB2312" w:cs="仿宋_GB2312"/>
        </w:rPr>
      </w:pPr>
      <w:r>
        <w:rPr>
          <w:rFonts w:hint="eastAsia" w:ascii="仿宋_GB2312" w:hAnsi="仿宋_GB2312" w:cs="仿宋_GB2312"/>
          <w:lang w:val="en-US" w:eastAsia="zh-CN"/>
        </w:rPr>
        <w:t>2.</w:t>
      </w:r>
      <w:r>
        <w:rPr>
          <w:rFonts w:hint="eastAsia" w:ascii="仿宋_GB2312" w:hAnsi="仿宋_GB2312" w:cs="仿宋_GB2312"/>
        </w:rPr>
        <w:t>监测预警：分基础措施和强化措施的内容，包括监测点位布设、监测频次、监测指标等，其中强化措施新增地下水污染风险监测网络和预警平台建设的内容，提升预警响应的及时性与精准性。</w:t>
      </w:r>
    </w:p>
    <w:p>
      <w:pPr>
        <w:numPr>
          <w:ilvl w:val="-1"/>
          <w:numId w:val="0"/>
        </w:numPr>
        <w:spacing w:line="560" w:lineRule="exact"/>
        <w:ind w:left="0" w:leftChars="0" w:firstLine="640"/>
        <w:rPr>
          <w:rFonts w:hint="eastAsia" w:ascii="仿宋_GB2312" w:hAnsi="仿宋_GB2312" w:cs="仿宋_GB2312"/>
        </w:rPr>
      </w:pPr>
      <w:r>
        <w:rPr>
          <w:rFonts w:hint="eastAsia" w:ascii="仿宋_GB2312" w:hAnsi="仿宋_GB2312" w:cs="仿宋_GB2312"/>
          <w:lang w:val="en-US" w:eastAsia="zh-CN"/>
        </w:rPr>
        <w:t>3.</w:t>
      </w:r>
      <w:r>
        <w:rPr>
          <w:rFonts w:hint="eastAsia" w:ascii="仿宋_GB2312" w:hAnsi="仿宋_GB2312" w:cs="仿宋_GB2312"/>
        </w:rPr>
        <w:t>污染溯源：基础措施聚焦隐患排查频次提升与重点排查内容，强化措施明确渗漏检测手段和污染溯源分析方法，为精准定位污染源提供技术支撑。</w:t>
      </w:r>
    </w:p>
    <w:p>
      <w:pPr>
        <w:numPr>
          <w:ilvl w:val="-1"/>
          <w:numId w:val="0"/>
        </w:numPr>
        <w:spacing w:line="560" w:lineRule="exact"/>
        <w:ind w:left="0" w:leftChars="0" w:firstLine="640"/>
        <w:rPr>
          <w:rFonts w:hint="eastAsia" w:ascii="仿宋_GB2312" w:hAnsi="仿宋_GB2312" w:cs="仿宋_GB2312"/>
        </w:rPr>
      </w:pPr>
      <w:r>
        <w:rPr>
          <w:rFonts w:hint="eastAsia" w:ascii="仿宋_GB2312" w:hAnsi="仿宋_GB2312" w:cs="仿宋_GB2312"/>
          <w:lang w:val="en-US" w:eastAsia="zh-CN"/>
        </w:rPr>
        <w:t>4.</w:t>
      </w:r>
      <w:r>
        <w:rPr>
          <w:rFonts w:hint="eastAsia" w:ascii="仿宋_GB2312" w:hAnsi="仿宋_GB2312" w:cs="仿宋_GB2312"/>
        </w:rPr>
        <w:t>切断源头：从清洁生产改造、储罐与池体防渗、管道输送防渗等六大方面，分别制定基础措施和强化措施，形成全链条源头管控体系。</w:t>
      </w:r>
    </w:p>
    <w:p>
      <w:pPr>
        <w:numPr>
          <w:ilvl w:val="-1"/>
          <w:numId w:val="0"/>
        </w:numPr>
        <w:spacing w:line="560" w:lineRule="exact"/>
        <w:ind w:left="0" w:leftChars="0" w:firstLine="640"/>
        <w:rPr>
          <w:rFonts w:hint="eastAsia" w:ascii="仿宋_GB2312" w:hAnsi="仿宋_GB2312" w:cs="仿宋_GB2312"/>
        </w:rPr>
      </w:pPr>
      <w:r>
        <w:rPr>
          <w:rFonts w:hint="eastAsia" w:ascii="仿宋_GB2312" w:hAnsi="仿宋_GB2312" w:cs="仿宋_GB2312"/>
          <w:lang w:val="en-US" w:eastAsia="zh-CN"/>
        </w:rPr>
        <w:t>5.</w:t>
      </w:r>
      <w:r>
        <w:rPr>
          <w:rFonts w:hint="eastAsia" w:ascii="仿宋_GB2312" w:hAnsi="仿宋_GB2312" w:cs="仿宋_GB2312"/>
        </w:rPr>
        <w:t>管控修复：针对污染超标严重或有扩散趋势的情形，明确保护人体健康和周边环境的两类管控修复措施，提出工程实施前的方案评审、环保措施及安全防护等内容。</w:t>
      </w:r>
    </w:p>
    <w:p>
      <w:pPr>
        <w:numPr>
          <w:ilvl w:val="-1"/>
          <w:numId w:val="0"/>
        </w:numPr>
        <w:spacing w:line="560" w:lineRule="exact"/>
        <w:ind w:left="0" w:leftChars="0" w:firstLine="640"/>
        <w:rPr>
          <w:rFonts w:hint="eastAsia" w:ascii="仿宋_GB2312" w:hAnsi="仿宋_GB2312" w:cs="仿宋_GB2312"/>
        </w:rPr>
      </w:pPr>
      <w:r>
        <w:rPr>
          <w:rFonts w:hint="eastAsia" w:ascii="仿宋_GB2312" w:hAnsi="仿宋_GB2312" w:cs="仿宋_GB2312"/>
          <w:lang w:val="en-US" w:eastAsia="zh-CN"/>
        </w:rPr>
        <w:t>6.</w:t>
      </w:r>
      <w:r>
        <w:rPr>
          <w:rFonts w:hint="eastAsia" w:ascii="仿宋_GB2312" w:hAnsi="仿宋_GB2312" w:cs="仿宋_GB2312"/>
        </w:rPr>
        <w:t>效果评估：设定近期、中期、远期三级目标，分别明确评估标准与方法，其中近期目标聚焦污染扩散遏制，中期目标关注污染物含量下降，远期目标达到相关环境质量标准，确保管控修复效果可衡量、可验证。</w:t>
      </w:r>
    </w:p>
    <w:p>
      <w:pPr>
        <w:spacing w:line="560" w:lineRule="exact"/>
        <w:ind w:firstLine="836"/>
      </w:pPr>
    </w:p>
    <w:sectPr>
      <w:headerReference r:id="rId7" w:type="first"/>
      <w:footerReference r:id="rId10" w:type="first"/>
      <w:headerReference r:id="rId5" w:type="default"/>
      <w:footerReference r:id="rId8" w:type="default"/>
      <w:headerReference r:id="rId6" w:type="even"/>
      <w:footerReference r:id="rId9" w:type="even"/>
      <w:pgSz w:w="11906" w:h="16838"/>
      <w:pgMar w:top="2098" w:right="1474" w:bottom="1984" w:left="1587"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640"/>
      </w:pPr>
      <w:r>
        <w:separator/>
      </w:r>
    </w:p>
  </w:endnote>
  <w:endnote w:type="continuationSeparator" w:id="1">
    <w:p>
      <w:pPr>
        <w:spacing w:line="240" w:lineRule="auto"/>
        <w:ind w:firstLine="64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DejaVu Sans"/>
    <w:panose1 w:val="02020603050405020304"/>
    <w:charset w:val="86"/>
    <w:family w:val="auto"/>
    <w:pitch w:val="default"/>
    <w:sig w:usb0="00000000" w:usb1="00000000" w:usb2="00000009" w:usb3="00000000" w:csb0="400001FF" w:csb1="FFFF0000"/>
  </w:font>
  <w:font w:name="宋体">
    <w:altName w:val="方正书宋_GBK"/>
    <w:panose1 w:val="00000000000000000000"/>
    <w:charset w:val="86"/>
    <w:family w:val="auto"/>
    <w:pitch w:val="default"/>
    <w:sig w:usb0="00000000" w:usb1="00000000" w:usb2="00000000" w:usb3="00000000" w:csb0="00000000" w:csb1="00000000"/>
  </w:font>
  <w:font w:name="Wingdings">
    <w:altName w:val="MathJax_Vector"/>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MathJax_Vector"/>
    <w:panose1 w:val="05050102010706020507"/>
    <w:charset w:val="02"/>
    <w:family w:val="roman"/>
    <w:pitch w:val="default"/>
    <w:sig w:usb0="00000000" w:usb1="00000000" w:usb2="00000000" w:usb3="00000000" w:csb0="80000000" w:csb1="00000000"/>
  </w:font>
  <w:font w:name="DejaVu Sans">
    <w:panose1 w:val="020B0603030804020204"/>
    <w:charset w:val="00"/>
    <w:family w:val="auto"/>
    <w:pitch w:val="default"/>
    <w:sig w:usb0="E7006EFF" w:usb1="D200FDFF" w:usb2="0A246029" w:usb3="0400200C" w:csb0="600001FF" w:csb1="DFFF0000"/>
  </w:font>
  <w:font w:name="Calibri">
    <w:altName w:val="DejaVu Sans"/>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等线">
    <w:altName w:val="华文仿宋"/>
    <w:panose1 w:val="02010600030101010101"/>
    <w:charset w:val="86"/>
    <w:family w:val="auto"/>
    <w:pitch w:val="default"/>
    <w:sig w:usb0="00000000" w:usb1="00000000" w:usb2="00000016" w:usb3="00000000" w:csb0="0004000F" w:csb1="00000000"/>
  </w:font>
  <w:font w:name="华文仿宋">
    <w:panose1 w:val="02010600040101010101"/>
    <w:charset w:val="86"/>
    <w:family w:val="auto"/>
    <w:pitch w:val="default"/>
    <w:sig w:usb0="00000287" w:usb1="080F0000" w:usb2="00000000" w:usb3="00000000" w:csb0="0004009F" w:csb1="DFD70000"/>
  </w:font>
  <w:font w:name="等线">
    <w:altName w:val="仿宋_GB2312"/>
    <w:panose1 w:val="00000000000000000000"/>
    <w:charset w:val="86"/>
    <w:family w:val="auto"/>
    <w:pitch w:val="default"/>
    <w:sig w:usb0="00000000" w:usb1="00000000" w:usb2="00000000" w:usb3="00000000" w:csb0="00000000" w:csb1="00000000"/>
  </w:font>
  <w:font w:name="等线">
    <w:altName w:val="C059"/>
    <w:panose1 w:val="00000000000000000000"/>
    <w:charset w:val="00"/>
    <w:family w:val="auto"/>
    <w:pitch w:val="default"/>
    <w:sig w:usb0="00000000" w:usb1="00000000" w:usb2="00000000" w:usb3="00000000" w:csb0="00000000" w:csb1="00000000"/>
  </w:font>
  <w:font w:name="仿宋_GB2312">
    <w:panose1 w:val="02010609030101010101"/>
    <w:charset w:val="86"/>
    <w:family w:val="modern"/>
    <w:pitch w:val="default"/>
    <w:sig w:usb0="00000001" w:usb1="080E0000" w:usb2="00000000" w:usb3="00000000" w:csb0="00040000" w:csb1="00000000"/>
  </w:font>
  <w:font w:name="等线 Light">
    <w:altName w:val="华文仿宋"/>
    <w:panose1 w:val="02010600030101010101"/>
    <w:charset w:val="86"/>
    <w:family w:val="auto"/>
    <w:pitch w:val="default"/>
    <w:sig w:usb0="00000000" w:usb1="00000000" w:usb2="00000016" w:usb3="00000000" w:csb0="0004000F" w:csb1="00000000"/>
  </w:font>
  <w:font w:name="楷体_GB2312">
    <w:panose1 w:val="02010609030101010101"/>
    <w:charset w:val="86"/>
    <w:family w:val="modern"/>
    <w:pitch w:val="default"/>
    <w:sig w:usb0="00000001" w:usb1="080E0000" w:usb2="00000000" w:usb3="00000000" w:csb0="00040000" w:csb1="00000000"/>
  </w:font>
  <w:font w:name="方正小标宋_GBK">
    <w:panose1 w:val="02000000000000000000"/>
    <w:charset w:val="86"/>
    <w:family w:val="script"/>
    <w:pitch w:val="default"/>
    <w:sig w:usb0="00000001" w:usb1="08000000" w:usb2="00000000" w:usb3="00000000" w:csb0="00040000" w:csb1="00000000"/>
  </w:font>
  <w:font w:name="C059">
    <w:panose1 w:val="00000500000000000000"/>
    <w:charset w:val="00"/>
    <w:family w:val="auto"/>
    <w:pitch w:val="default"/>
    <w:sig w:usb0="00000287" w:usb1="00000800" w:usb2="00000000" w:usb3="00000000" w:csb0="6000009F" w:csb1="00000000"/>
  </w:font>
  <w:font w:name="Liberation Serif">
    <w:panose1 w:val="02020603050405020304"/>
    <w:charset w:val="00"/>
    <w:family w:val="auto"/>
    <w:pitch w:val="default"/>
    <w:sig w:usb0="A00002AF" w:usb1="500078FB" w:usb2="00000000" w:usb3="00000000" w:csb0="6000009F" w:csb1="DFD70000"/>
  </w:font>
  <w:font w:name="方正仿宋_GBK">
    <w:panose1 w:val="02000000000000000000"/>
    <w:charset w:val="86"/>
    <w:family w:val="auto"/>
    <w:pitch w:val="default"/>
    <w:sig w:usb0="00000001" w:usb1="08000000" w:usb2="00000000" w:usb3="00000000" w:csb0="00040000" w:csb1="00000000"/>
  </w:font>
  <w:font w:name="Arial">
    <w:altName w:val="DejaVu Sans"/>
    <w:panose1 w:val="00000000000000000000"/>
    <w:charset w:val="00"/>
    <w:family w:val="auto"/>
    <w:pitch w:val="default"/>
    <w:sig w:usb0="00000000" w:usb1="00000000" w:usb2="00000000" w:usb3="00000000" w:csb0="00000000" w:csb1="00000000"/>
  </w:font>
  <w:font w:name="等线 Light">
    <w:altName w:val="C059"/>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
      <w:docPartObj>
        <w:docPartGallery w:val="autotext"/>
      </w:docPartObj>
    </w:sdtPr>
    <w:sdtContent>
      <w:p>
        <w:pPr>
          <w:pStyle w:val="13"/>
          <w:ind w:firstLine="360"/>
          <w:jc w:val="center"/>
        </w:pPr>
        <w:r>
          <w:fldChar w:fldCharType="begin"/>
        </w:r>
        <w:r>
          <w:instrText xml:space="preserve">PAGE   \* MERGEFORMAT</w:instrText>
        </w:r>
        <w:r>
          <w:fldChar w:fldCharType="separate"/>
        </w:r>
        <w:r>
          <w:rPr>
            <w:lang w:val="zh-CN"/>
          </w:rPr>
          <w:t>2</w:t>
        </w:r>
        <w:r>
          <w:fldChar w:fldCharType="end"/>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ind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ind w:firstLine="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ind w:firstLine="640"/>
      </w:pPr>
      <w:r>
        <w:separator/>
      </w:r>
    </w:p>
  </w:footnote>
  <w:footnote w:type="continuationSeparator" w:id="1">
    <w:p>
      <w:pPr>
        <w:spacing w:line="240" w:lineRule="auto"/>
        <w:ind w:firstLine="64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ind w:firstLine="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ind w:firstLine="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ind w:firstLine="36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revisionView w:markup="0"/>
  <w:trackRevisions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A1B29"/>
    <w:rsid w:val="000834CB"/>
    <w:rsid w:val="000850E7"/>
    <w:rsid w:val="000921B6"/>
    <w:rsid w:val="000A6862"/>
    <w:rsid w:val="000B3EAB"/>
    <w:rsid w:val="000F6E15"/>
    <w:rsid w:val="0011078A"/>
    <w:rsid w:val="00127D4E"/>
    <w:rsid w:val="00165D1D"/>
    <w:rsid w:val="0017786D"/>
    <w:rsid w:val="0019137B"/>
    <w:rsid w:val="001934F1"/>
    <w:rsid w:val="001D0CA1"/>
    <w:rsid w:val="001E0ADE"/>
    <w:rsid w:val="00231580"/>
    <w:rsid w:val="00241625"/>
    <w:rsid w:val="00243DCE"/>
    <w:rsid w:val="00250FA5"/>
    <w:rsid w:val="002715B7"/>
    <w:rsid w:val="00296F4C"/>
    <w:rsid w:val="002F408E"/>
    <w:rsid w:val="0030221D"/>
    <w:rsid w:val="00324893"/>
    <w:rsid w:val="00334038"/>
    <w:rsid w:val="00381354"/>
    <w:rsid w:val="003A1B29"/>
    <w:rsid w:val="003D2B2D"/>
    <w:rsid w:val="003F2749"/>
    <w:rsid w:val="00437D90"/>
    <w:rsid w:val="00464FFD"/>
    <w:rsid w:val="004D2EE5"/>
    <w:rsid w:val="005011FF"/>
    <w:rsid w:val="005250DB"/>
    <w:rsid w:val="00563738"/>
    <w:rsid w:val="005778CF"/>
    <w:rsid w:val="00621813"/>
    <w:rsid w:val="006A541D"/>
    <w:rsid w:val="006A7E08"/>
    <w:rsid w:val="0070650D"/>
    <w:rsid w:val="00766BA5"/>
    <w:rsid w:val="007C437A"/>
    <w:rsid w:val="007D5AB5"/>
    <w:rsid w:val="007E104B"/>
    <w:rsid w:val="007F1624"/>
    <w:rsid w:val="00804556"/>
    <w:rsid w:val="00822E40"/>
    <w:rsid w:val="008636AC"/>
    <w:rsid w:val="00865113"/>
    <w:rsid w:val="008800D8"/>
    <w:rsid w:val="008B119C"/>
    <w:rsid w:val="00915710"/>
    <w:rsid w:val="00940B09"/>
    <w:rsid w:val="009E6657"/>
    <w:rsid w:val="00A45E9F"/>
    <w:rsid w:val="00A7392B"/>
    <w:rsid w:val="00A959DA"/>
    <w:rsid w:val="00AD4BD9"/>
    <w:rsid w:val="00AF4157"/>
    <w:rsid w:val="00B42263"/>
    <w:rsid w:val="00B71DEA"/>
    <w:rsid w:val="00B968C0"/>
    <w:rsid w:val="00BC666A"/>
    <w:rsid w:val="00C073D6"/>
    <w:rsid w:val="00C469DF"/>
    <w:rsid w:val="00C5333B"/>
    <w:rsid w:val="00C97566"/>
    <w:rsid w:val="00CA115C"/>
    <w:rsid w:val="00CC0CD4"/>
    <w:rsid w:val="00CD3833"/>
    <w:rsid w:val="00D2780A"/>
    <w:rsid w:val="00D3089B"/>
    <w:rsid w:val="00D371DA"/>
    <w:rsid w:val="00D75B12"/>
    <w:rsid w:val="00D77B11"/>
    <w:rsid w:val="00DC2547"/>
    <w:rsid w:val="00DE333E"/>
    <w:rsid w:val="00DF4223"/>
    <w:rsid w:val="00E30462"/>
    <w:rsid w:val="00E7333A"/>
    <w:rsid w:val="00EB05E9"/>
    <w:rsid w:val="00EC085B"/>
    <w:rsid w:val="00EE0C03"/>
    <w:rsid w:val="00EE61CC"/>
    <w:rsid w:val="00F66F56"/>
    <w:rsid w:val="00F76480"/>
    <w:rsid w:val="00FC634E"/>
    <w:rsid w:val="00FD4F40"/>
    <w:rsid w:val="00FF57F9"/>
    <w:rsid w:val="33FFB714"/>
    <w:rsid w:val="6B877EBA"/>
    <w:rsid w:val="ACFF8E05"/>
    <w:rsid w:val="EFFE8B5B"/>
    <w:rsid w:val="FDDF0E0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qFormat="1" w:unhideWhenUsed="0" w:uiPriority="0" w:semiHidden="0"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29" w:semiHidden="0" w:name="Quote"/>
    <w:lsdException w:qFormat="1" w:unhideWhenUsed="0" w:uiPriority="3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adjustRightInd w:val="0"/>
      <w:snapToGrid w:val="0"/>
      <w:spacing w:line="570" w:lineRule="exact"/>
      <w:ind w:firstLine="200" w:firstLineChars="200"/>
      <w:jc w:val="both"/>
    </w:pPr>
    <w:rPr>
      <w:rFonts w:ascii="Times New Roman" w:hAnsi="Times New Roman" w:eastAsia="仿宋_GB2312" w:cstheme="minorBidi"/>
      <w:kern w:val="2"/>
      <w:sz w:val="32"/>
      <w:szCs w:val="22"/>
      <w:lang w:val="en-US" w:eastAsia="zh-CN" w:bidi="ar-SA"/>
    </w:rPr>
  </w:style>
  <w:style w:type="paragraph" w:styleId="4">
    <w:name w:val="heading 1"/>
    <w:basedOn w:val="1"/>
    <w:next w:val="1"/>
    <w:link w:val="19"/>
    <w:qFormat/>
    <w:uiPriority w:val="9"/>
    <w:pPr>
      <w:keepNext/>
      <w:keepLines/>
      <w:outlineLvl w:val="0"/>
    </w:pPr>
    <w:rPr>
      <w:rFonts w:asciiTheme="majorHAnsi" w:hAnsiTheme="majorHAnsi" w:eastAsiaTheme="majorEastAsia" w:cstheme="majorBidi"/>
      <w:color w:val="104862" w:themeColor="accent1" w:themeShade="BF"/>
      <w:sz w:val="48"/>
      <w:szCs w:val="48"/>
    </w:rPr>
  </w:style>
  <w:style w:type="paragraph" w:styleId="5">
    <w:name w:val="heading 2"/>
    <w:basedOn w:val="1"/>
    <w:next w:val="1"/>
    <w:link w:val="20"/>
    <w:unhideWhenUsed/>
    <w:qFormat/>
    <w:uiPriority w:val="9"/>
    <w:pPr>
      <w:keepNext/>
      <w:keepLines/>
      <w:outlineLvl w:val="1"/>
    </w:pPr>
    <w:rPr>
      <w:rFonts w:eastAsia="楷体_GB2312" w:asciiTheme="majorHAnsi" w:hAnsiTheme="majorHAnsi" w:cstheme="majorBidi"/>
      <w:color w:val="000000" w:themeColor="text1"/>
      <w:szCs w:val="40"/>
      <w14:textFill>
        <w14:solidFill>
          <w14:schemeClr w14:val="tx1"/>
        </w14:solidFill>
      </w14:textFill>
    </w:rPr>
  </w:style>
  <w:style w:type="paragraph" w:styleId="6">
    <w:name w:val="heading 3"/>
    <w:basedOn w:val="1"/>
    <w:next w:val="1"/>
    <w:link w:val="21"/>
    <w:unhideWhenUsed/>
    <w:qFormat/>
    <w:uiPriority w:val="9"/>
    <w:pPr>
      <w:keepNext/>
      <w:keepLines/>
      <w:spacing w:before="160" w:after="80"/>
      <w:outlineLvl w:val="2"/>
    </w:pPr>
    <w:rPr>
      <w:rFonts w:asciiTheme="majorHAnsi" w:hAnsiTheme="majorHAnsi" w:eastAsiaTheme="majorEastAsia" w:cstheme="majorBidi"/>
      <w:color w:val="104862" w:themeColor="accent1" w:themeShade="BF"/>
      <w:szCs w:val="32"/>
    </w:rPr>
  </w:style>
  <w:style w:type="paragraph" w:styleId="7">
    <w:name w:val="heading 4"/>
    <w:basedOn w:val="1"/>
    <w:next w:val="1"/>
    <w:link w:val="22"/>
    <w:semiHidden/>
    <w:unhideWhenUsed/>
    <w:qFormat/>
    <w:uiPriority w:val="9"/>
    <w:pPr>
      <w:keepNext/>
      <w:keepLines/>
      <w:spacing w:before="80" w:after="40"/>
      <w:outlineLvl w:val="3"/>
    </w:pPr>
    <w:rPr>
      <w:rFonts w:cstheme="majorBidi"/>
      <w:color w:val="104862" w:themeColor="accent1" w:themeShade="BF"/>
      <w:sz w:val="28"/>
      <w:szCs w:val="28"/>
    </w:rPr>
  </w:style>
  <w:style w:type="paragraph" w:styleId="8">
    <w:name w:val="heading 5"/>
    <w:basedOn w:val="1"/>
    <w:next w:val="1"/>
    <w:link w:val="23"/>
    <w:semiHidden/>
    <w:unhideWhenUsed/>
    <w:qFormat/>
    <w:uiPriority w:val="9"/>
    <w:pPr>
      <w:keepNext/>
      <w:keepLines/>
      <w:spacing w:before="80" w:after="40"/>
      <w:outlineLvl w:val="4"/>
    </w:pPr>
    <w:rPr>
      <w:rFonts w:cstheme="majorBidi"/>
      <w:color w:val="104862" w:themeColor="accent1" w:themeShade="BF"/>
      <w:sz w:val="24"/>
      <w:szCs w:val="24"/>
    </w:rPr>
  </w:style>
  <w:style w:type="paragraph" w:styleId="9">
    <w:name w:val="heading 6"/>
    <w:basedOn w:val="1"/>
    <w:next w:val="1"/>
    <w:link w:val="24"/>
    <w:semiHidden/>
    <w:unhideWhenUsed/>
    <w:qFormat/>
    <w:uiPriority w:val="9"/>
    <w:pPr>
      <w:keepNext/>
      <w:keepLines/>
      <w:spacing w:before="40"/>
      <w:outlineLvl w:val="5"/>
    </w:pPr>
    <w:rPr>
      <w:rFonts w:cstheme="majorBidi"/>
      <w:b/>
      <w:bCs/>
      <w:color w:val="104862" w:themeColor="accent1" w:themeShade="BF"/>
    </w:rPr>
  </w:style>
  <w:style w:type="paragraph" w:styleId="10">
    <w:name w:val="heading 7"/>
    <w:basedOn w:val="1"/>
    <w:next w:val="1"/>
    <w:link w:val="25"/>
    <w:semiHidden/>
    <w:unhideWhenUsed/>
    <w:qFormat/>
    <w:uiPriority w:val="9"/>
    <w:pPr>
      <w:keepNext/>
      <w:keepLines/>
      <w:spacing w:before="40"/>
      <w:outlineLvl w:val="6"/>
    </w:pPr>
    <w:rPr>
      <w:rFonts w:cstheme="majorBidi"/>
      <w:b/>
      <w:bCs/>
      <w:color w:val="595959" w:themeColor="text1" w:themeTint="A6"/>
      <w14:textFill>
        <w14:solidFill>
          <w14:schemeClr w14:val="tx1">
            <w14:lumMod w14:val="65000"/>
            <w14:lumOff w14:val="35000"/>
          </w14:schemeClr>
        </w14:solidFill>
      </w14:textFill>
    </w:rPr>
  </w:style>
  <w:style w:type="paragraph" w:styleId="11">
    <w:name w:val="heading 8"/>
    <w:basedOn w:val="1"/>
    <w:next w:val="1"/>
    <w:link w:val="26"/>
    <w:semiHidden/>
    <w:unhideWhenUsed/>
    <w:qFormat/>
    <w:uiPriority w:val="9"/>
    <w:pPr>
      <w:keepNext/>
      <w:keepLines/>
      <w:outlineLvl w:val="7"/>
    </w:pPr>
    <w:rPr>
      <w:rFonts w:cstheme="majorBidi"/>
      <w:color w:val="595959" w:themeColor="text1" w:themeTint="A6"/>
      <w14:textFill>
        <w14:solidFill>
          <w14:schemeClr w14:val="tx1">
            <w14:lumMod w14:val="65000"/>
            <w14:lumOff w14:val="35000"/>
          </w14:schemeClr>
        </w14:solidFill>
      </w14:textFill>
    </w:rPr>
  </w:style>
  <w:style w:type="paragraph" w:styleId="12">
    <w:name w:val="heading 9"/>
    <w:basedOn w:val="1"/>
    <w:next w:val="1"/>
    <w:link w:val="27"/>
    <w:semiHidden/>
    <w:unhideWhenUsed/>
    <w:qFormat/>
    <w:uiPriority w:val="9"/>
    <w:pPr>
      <w:keepNext/>
      <w:keepLines/>
      <w:outlineLvl w:val="8"/>
    </w:pPr>
    <w:rPr>
      <w:rFonts w:eastAsiaTheme="majorEastAsia" w:cstheme="majorBidi"/>
      <w:color w:val="595959" w:themeColor="text1" w:themeTint="A6"/>
      <w14:textFill>
        <w14:solidFill>
          <w14:schemeClr w14:val="tx1">
            <w14:lumMod w14:val="65000"/>
            <w14:lumOff w14:val="35000"/>
          </w14:schemeClr>
        </w14:solidFill>
      </w14:textFill>
    </w:rPr>
  </w:style>
  <w:style w:type="character" w:default="1" w:styleId="18">
    <w:name w:val="Default Paragraph Font"/>
    <w:unhideWhenUsed/>
    <w:qFormat/>
    <w:uiPriority w:val="1"/>
  </w:style>
  <w:style w:type="table" w:default="1" w:styleId="17">
    <w:name w:val="Normal Table"/>
    <w:semiHidden/>
    <w:unhideWhenUsed/>
    <w:qFormat/>
    <w:uiPriority w:val="99"/>
    <w:tblPr>
      <w:tblCellMar>
        <w:top w:w="0" w:type="dxa"/>
        <w:left w:w="108" w:type="dxa"/>
        <w:bottom w:w="0" w:type="dxa"/>
        <w:right w:w="108" w:type="dxa"/>
      </w:tblCellMar>
    </w:tblPr>
  </w:style>
  <w:style w:type="paragraph" w:styleId="2">
    <w:name w:val="Plain Text"/>
    <w:basedOn w:val="1"/>
    <w:next w:val="3"/>
    <w:qFormat/>
    <w:uiPriority w:val="0"/>
    <w:rPr>
      <w:rFonts w:ascii="宋体" w:hAnsi="Courier New"/>
      <w:szCs w:val="21"/>
    </w:rPr>
  </w:style>
  <w:style w:type="paragraph" w:styleId="3">
    <w:name w:val="index 8"/>
    <w:basedOn w:val="1"/>
    <w:next w:val="1"/>
    <w:qFormat/>
    <w:uiPriority w:val="0"/>
    <w:pPr>
      <w:ind w:left="2940"/>
    </w:pPr>
  </w:style>
  <w:style w:type="paragraph" w:styleId="13">
    <w:name w:val="footer"/>
    <w:basedOn w:val="1"/>
    <w:link w:val="38"/>
    <w:unhideWhenUsed/>
    <w:qFormat/>
    <w:uiPriority w:val="99"/>
    <w:pPr>
      <w:tabs>
        <w:tab w:val="center" w:pos="4153"/>
        <w:tab w:val="right" w:pos="8306"/>
      </w:tabs>
      <w:spacing w:line="240" w:lineRule="atLeast"/>
      <w:jc w:val="left"/>
    </w:pPr>
    <w:rPr>
      <w:sz w:val="18"/>
      <w:szCs w:val="18"/>
    </w:rPr>
  </w:style>
  <w:style w:type="paragraph" w:styleId="14">
    <w:name w:val="header"/>
    <w:basedOn w:val="1"/>
    <w:link w:val="37"/>
    <w:unhideWhenUsed/>
    <w:qFormat/>
    <w:uiPriority w:val="99"/>
    <w:pPr>
      <w:tabs>
        <w:tab w:val="center" w:pos="4153"/>
        <w:tab w:val="right" w:pos="8306"/>
      </w:tabs>
      <w:spacing w:line="240" w:lineRule="atLeast"/>
      <w:jc w:val="center"/>
    </w:pPr>
    <w:rPr>
      <w:sz w:val="18"/>
      <w:szCs w:val="18"/>
    </w:rPr>
  </w:style>
  <w:style w:type="paragraph" w:styleId="15">
    <w:name w:val="Subtitle"/>
    <w:basedOn w:val="1"/>
    <w:next w:val="1"/>
    <w:link w:val="29"/>
    <w:qFormat/>
    <w:uiPriority w:val="11"/>
    <w:pPr>
      <w:spacing w:after="160"/>
      <w:jc w:val="center"/>
    </w:pPr>
    <w:rPr>
      <w:rFonts w:asciiTheme="majorHAnsi" w:hAnsiTheme="majorHAnsi" w:eastAsiaTheme="majorEastAsia" w:cstheme="majorBidi"/>
      <w:color w:val="595959" w:themeColor="text1" w:themeTint="A6"/>
      <w:spacing w:val="15"/>
      <w:sz w:val="28"/>
      <w:szCs w:val="28"/>
      <w14:textFill>
        <w14:solidFill>
          <w14:schemeClr w14:val="tx1">
            <w14:lumMod w14:val="65000"/>
            <w14:lumOff w14:val="35000"/>
          </w14:schemeClr>
        </w14:solidFill>
      </w14:textFill>
    </w:rPr>
  </w:style>
  <w:style w:type="paragraph" w:styleId="16">
    <w:name w:val="Title"/>
    <w:basedOn w:val="1"/>
    <w:next w:val="1"/>
    <w:link w:val="28"/>
    <w:qFormat/>
    <w:uiPriority w:val="10"/>
    <w:pPr>
      <w:spacing w:after="80"/>
      <w:contextualSpacing/>
      <w:jc w:val="center"/>
    </w:pPr>
    <w:rPr>
      <w:rFonts w:asciiTheme="majorHAnsi" w:hAnsiTheme="majorHAnsi" w:eastAsiaTheme="majorEastAsia" w:cstheme="majorBidi"/>
      <w:spacing w:val="-10"/>
      <w:kern w:val="28"/>
      <w:sz w:val="56"/>
      <w:szCs w:val="56"/>
    </w:rPr>
  </w:style>
  <w:style w:type="character" w:customStyle="1" w:styleId="19">
    <w:name w:val="标题 1 字符"/>
    <w:basedOn w:val="18"/>
    <w:link w:val="4"/>
    <w:qFormat/>
    <w:uiPriority w:val="9"/>
    <w:rPr>
      <w:rFonts w:asciiTheme="majorHAnsi" w:hAnsiTheme="majorHAnsi" w:eastAsiaTheme="majorEastAsia" w:cstheme="majorBidi"/>
      <w:color w:val="104862" w:themeColor="accent1" w:themeShade="BF"/>
      <w:sz w:val="48"/>
      <w:szCs w:val="48"/>
    </w:rPr>
  </w:style>
  <w:style w:type="character" w:customStyle="1" w:styleId="20">
    <w:name w:val="标题 2 字符"/>
    <w:basedOn w:val="18"/>
    <w:link w:val="5"/>
    <w:qFormat/>
    <w:uiPriority w:val="9"/>
    <w:rPr>
      <w:rFonts w:eastAsia="楷体_GB2312" w:asciiTheme="majorHAnsi" w:hAnsiTheme="majorHAnsi" w:cstheme="majorBidi"/>
      <w:color w:val="000000" w:themeColor="text1"/>
      <w:sz w:val="32"/>
      <w:szCs w:val="40"/>
      <w14:textFill>
        <w14:solidFill>
          <w14:schemeClr w14:val="tx1"/>
        </w14:solidFill>
      </w14:textFill>
    </w:rPr>
  </w:style>
  <w:style w:type="character" w:customStyle="1" w:styleId="21">
    <w:name w:val="标题 3 字符"/>
    <w:basedOn w:val="18"/>
    <w:link w:val="6"/>
    <w:qFormat/>
    <w:uiPriority w:val="9"/>
    <w:rPr>
      <w:rFonts w:asciiTheme="majorHAnsi" w:hAnsiTheme="majorHAnsi" w:eastAsiaTheme="majorEastAsia" w:cstheme="majorBidi"/>
      <w:color w:val="104862" w:themeColor="accent1" w:themeShade="BF"/>
      <w:sz w:val="32"/>
      <w:szCs w:val="32"/>
    </w:rPr>
  </w:style>
  <w:style w:type="character" w:customStyle="1" w:styleId="22">
    <w:name w:val="标题 4 字符"/>
    <w:basedOn w:val="18"/>
    <w:link w:val="7"/>
    <w:semiHidden/>
    <w:qFormat/>
    <w:uiPriority w:val="9"/>
    <w:rPr>
      <w:rFonts w:cstheme="majorBidi"/>
      <w:color w:val="104862" w:themeColor="accent1" w:themeShade="BF"/>
      <w:sz w:val="28"/>
      <w:szCs w:val="28"/>
    </w:rPr>
  </w:style>
  <w:style w:type="character" w:customStyle="1" w:styleId="23">
    <w:name w:val="标题 5 字符"/>
    <w:basedOn w:val="18"/>
    <w:link w:val="8"/>
    <w:semiHidden/>
    <w:qFormat/>
    <w:uiPriority w:val="9"/>
    <w:rPr>
      <w:rFonts w:cstheme="majorBidi"/>
      <w:color w:val="104862" w:themeColor="accent1" w:themeShade="BF"/>
      <w:sz w:val="24"/>
      <w:szCs w:val="24"/>
    </w:rPr>
  </w:style>
  <w:style w:type="character" w:customStyle="1" w:styleId="24">
    <w:name w:val="标题 6 字符"/>
    <w:basedOn w:val="18"/>
    <w:link w:val="9"/>
    <w:semiHidden/>
    <w:qFormat/>
    <w:uiPriority w:val="9"/>
    <w:rPr>
      <w:rFonts w:cstheme="majorBidi"/>
      <w:b/>
      <w:bCs/>
      <w:color w:val="104862" w:themeColor="accent1" w:themeShade="BF"/>
    </w:rPr>
  </w:style>
  <w:style w:type="character" w:customStyle="1" w:styleId="25">
    <w:name w:val="标题 7 字符"/>
    <w:basedOn w:val="18"/>
    <w:link w:val="10"/>
    <w:semiHidden/>
    <w:qFormat/>
    <w:uiPriority w:val="9"/>
    <w:rPr>
      <w:rFonts w:cstheme="majorBidi"/>
      <w:b/>
      <w:bCs/>
      <w:color w:val="595959" w:themeColor="text1" w:themeTint="A6"/>
      <w14:textFill>
        <w14:solidFill>
          <w14:schemeClr w14:val="tx1">
            <w14:lumMod w14:val="65000"/>
            <w14:lumOff w14:val="35000"/>
          </w14:schemeClr>
        </w14:solidFill>
      </w14:textFill>
    </w:rPr>
  </w:style>
  <w:style w:type="character" w:customStyle="1" w:styleId="26">
    <w:name w:val="标题 8 字符"/>
    <w:basedOn w:val="18"/>
    <w:link w:val="11"/>
    <w:semiHidden/>
    <w:qFormat/>
    <w:uiPriority w:val="9"/>
    <w:rPr>
      <w:rFonts w:cstheme="majorBidi"/>
      <w:color w:val="595959" w:themeColor="text1" w:themeTint="A6"/>
      <w14:textFill>
        <w14:solidFill>
          <w14:schemeClr w14:val="tx1">
            <w14:lumMod w14:val="65000"/>
            <w14:lumOff w14:val="35000"/>
          </w14:schemeClr>
        </w14:solidFill>
      </w14:textFill>
    </w:rPr>
  </w:style>
  <w:style w:type="character" w:customStyle="1" w:styleId="27">
    <w:name w:val="标题 9 字符"/>
    <w:basedOn w:val="18"/>
    <w:link w:val="12"/>
    <w:semiHidden/>
    <w:qFormat/>
    <w:uiPriority w:val="9"/>
    <w:rPr>
      <w:rFonts w:eastAsiaTheme="majorEastAsia" w:cstheme="majorBidi"/>
      <w:color w:val="595959" w:themeColor="text1" w:themeTint="A6"/>
      <w14:textFill>
        <w14:solidFill>
          <w14:schemeClr w14:val="tx1">
            <w14:lumMod w14:val="65000"/>
            <w14:lumOff w14:val="35000"/>
          </w14:schemeClr>
        </w14:solidFill>
      </w14:textFill>
    </w:rPr>
  </w:style>
  <w:style w:type="character" w:customStyle="1" w:styleId="28">
    <w:name w:val="标题 字符"/>
    <w:basedOn w:val="18"/>
    <w:link w:val="16"/>
    <w:qFormat/>
    <w:uiPriority w:val="10"/>
    <w:rPr>
      <w:rFonts w:asciiTheme="majorHAnsi" w:hAnsiTheme="majorHAnsi" w:eastAsiaTheme="majorEastAsia" w:cstheme="majorBidi"/>
      <w:spacing w:val="-10"/>
      <w:kern w:val="28"/>
      <w:sz w:val="56"/>
      <w:szCs w:val="56"/>
    </w:rPr>
  </w:style>
  <w:style w:type="character" w:customStyle="1" w:styleId="29">
    <w:name w:val="副标题 字符"/>
    <w:basedOn w:val="18"/>
    <w:link w:val="15"/>
    <w:qFormat/>
    <w:uiPriority w:val="11"/>
    <w:rPr>
      <w:rFonts w:asciiTheme="majorHAnsi" w:hAnsiTheme="majorHAnsi" w:eastAsiaTheme="majorEastAsia" w:cstheme="majorBidi"/>
      <w:color w:val="595959" w:themeColor="text1" w:themeTint="A6"/>
      <w:spacing w:val="15"/>
      <w:sz w:val="28"/>
      <w:szCs w:val="28"/>
      <w14:textFill>
        <w14:solidFill>
          <w14:schemeClr w14:val="tx1">
            <w14:lumMod w14:val="65000"/>
            <w14:lumOff w14:val="35000"/>
          </w14:schemeClr>
        </w14:solidFill>
      </w14:textFill>
    </w:rPr>
  </w:style>
  <w:style w:type="paragraph" w:styleId="30">
    <w:name w:val="Quote"/>
    <w:basedOn w:val="1"/>
    <w:next w:val="1"/>
    <w:link w:val="31"/>
    <w:qFormat/>
    <w:uiPriority w:val="29"/>
    <w:pPr>
      <w:spacing w:before="160" w:after="160"/>
      <w:jc w:val="center"/>
    </w:pPr>
    <w:rPr>
      <w:i/>
      <w:iCs/>
      <w:color w:val="404040" w:themeColor="text1" w:themeTint="BF"/>
      <w14:textFill>
        <w14:solidFill>
          <w14:schemeClr w14:val="tx1">
            <w14:lumMod w14:val="75000"/>
            <w14:lumOff w14:val="25000"/>
          </w14:schemeClr>
        </w14:solidFill>
      </w14:textFill>
    </w:rPr>
  </w:style>
  <w:style w:type="character" w:customStyle="1" w:styleId="31">
    <w:name w:val="引用 字符"/>
    <w:basedOn w:val="18"/>
    <w:link w:val="30"/>
    <w:qFormat/>
    <w:uiPriority w:val="29"/>
    <w:rPr>
      <w:i/>
      <w:iCs/>
      <w:color w:val="404040" w:themeColor="text1" w:themeTint="BF"/>
      <w14:textFill>
        <w14:solidFill>
          <w14:schemeClr w14:val="tx1">
            <w14:lumMod w14:val="75000"/>
            <w14:lumOff w14:val="25000"/>
          </w14:schemeClr>
        </w14:solidFill>
      </w14:textFill>
    </w:rPr>
  </w:style>
  <w:style w:type="paragraph" w:styleId="32">
    <w:name w:val="List Paragraph"/>
    <w:basedOn w:val="1"/>
    <w:qFormat/>
    <w:uiPriority w:val="34"/>
    <w:pPr>
      <w:ind w:left="720"/>
      <w:contextualSpacing/>
    </w:pPr>
  </w:style>
  <w:style w:type="character" w:customStyle="1" w:styleId="33">
    <w:name w:val="明显强调1"/>
    <w:basedOn w:val="18"/>
    <w:qFormat/>
    <w:uiPriority w:val="21"/>
    <w:rPr>
      <w:i/>
      <w:iCs/>
      <w:color w:val="104862" w:themeColor="accent1" w:themeShade="BF"/>
    </w:rPr>
  </w:style>
  <w:style w:type="paragraph" w:styleId="34">
    <w:name w:val="Intense Quote"/>
    <w:basedOn w:val="1"/>
    <w:next w:val="1"/>
    <w:link w:val="35"/>
    <w:qFormat/>
    <w:uiPriority w:val="30"/>
    <w:pPr>
      <w:pBdr>
        <w:top w:val="single" w:color="0F4761" w:themeColor="accent1" w:themeShade="BF" w:sz="4" w:space="10"/>
        <w:bottom w:val="single" w:color="0F4761" w:themeColor="accent1" w:themeShade="BF" w:sz="4" w:space="10"/>
      </w:pBdr>
      <w:spacing w:before="360" w:after="360"/>
      <w:ind w:left="864" w:right="864"/>
      <w:jc w:val="center"/>
    </w:pPr>
    <w:rPr>
      <w:i/>
      <w:iCs/>
      <w:color w:val="104862" w:themeColor="accent1" w:themeShade="BF"/>
    </w:rPr>
  </w:style>
  <w:style w:type="character" w:customStyle="1" w:styleId="35">
    <w:name w:val="明显引用 字符"/>
    <w:basedOn w:val="18"/>
    <w:link w:val="34"/>
    <w:qFormat/>
    <w:uiPriority w:val="30"/>
    <w:rPr>
      <w:i/>
      <w:iCs/>
      <w:color w:val="104862" w:themeColor="accent1" w:themeShade="BF"/>
    </w:rPr>
  </w:style>
  <w:style w:type="character" w:customStyle="1" w:styleId="36">
    <w:name w:val="明显参考1"/>
    <w:basedOn w:val="18"/>
    <w:qFormat/>
    <w:uiPriority w:val="32"/>
    <w:rPr>
      <w:b/>
      <w:bCs/>
      <w:smallCaps/>
      <w:color w:val="104862" w:themeColor="accent1" w:themeShade="BF"/>
      <w:spacing w:val="5"/>
    </w:rPr>
  </w:style>
  <w:style w:type="character" w:customStyle="1" w:styleId="37">
    <w:name w:val="页眉 字符"/>
    <w:basedOn w:val="18"/>
    <w:link w:val="14"/>
    <w:qFormat/>
    <w:uiPriority w:val="99"/>
    <w:rPr>
      <w:rFonts w:ascii="Times New Roman" w:hAnsi="Times New Roman" w:eastAsia="仿宋_GB2312"/>
      <w:sz w:val="18"/>
      <w:szCs w:val="18"/>
    </w:rPr>
  </w:style>
  <w:style w:type="character" w:customStyle="1" w:styleId="38">
    <w:name w:val="页脚 字符"/>
    <w:basedOn w:val="18"/>
    <w:link w:val="13"/>
    <w:qFormat/>
    <w:uiPriority w:val="99"/>
    <w:rPr>
      <w:rFonts w:ascii="Times New Roman" w:hAnsi="Times New Roman" w:eastAsia="仿宋_GB2312"/>
      <w:sz w:val="18"/>
      <w:szCs w:val="18"/>
    </w:rPr>
  </w:style>
  <w:style w:type="paragraph" w:customStyle="1" w:styleId="39">
    <w:name w:val="Revision"/>
    <w:hidden/>
    <w:unhideWhenUsed/>
    <w:qFormat/>
    <w:uiPriority w:val="99"/>
    <w:rPr>
      <w:rFonts w:ascii="Times New Roman" w:hAnsi="Times New Roman" w:eastAsia="仿宋_GB2312" w:cstheme="minorBidi"/>
      <w:kern w:val="2"/>
      <w:sz w:val="32"/>
      <w:szCs w:val="22"/>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theme" Target="theme/theme1.xml"/><Relationship Id="rId10" Type="http://schemas.openxmlformats.org/officeDocument/2006/relationships/footer" Target="footer3.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6</Pages>
  <Words>516</Words>
  <Characters>2944</Characters>
  <Lines>24</Lines>
  <Paragraphs>6</Paragraphs>
  <TotalTime>561</TotalTime>
  <ScaleCrop>false</ScaleCrop>
  <LinksUpToDate>false</LinksUpToDate>
  <CharactersWithSpaces>3454</CharactersWithSpaces>
  <Application>WPS Office_11.8.2.11958_F1E327BC-269C-435d-A152-05C5408002CA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2025-11-25T16:59:00Z</dcterms:created>
  <dc:creator>user</dc:creator>
  <cp:lastModifiedBy>pc-hy</cp:lastModifiedBy>
  <cp:lastPrinted>2025-11-29T00:57:00Z</cp:lastPrinted>
  <dcterms:modified xsi:type="dcterms:W3CDTF">2025-12-08T10:59:15Z</dcterms:modified>
  <cp:revision>30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2052-11.8.2.11958</vt:lpwstr>
  </property>
  <property fmtid="{D5CDD505-2E9C-101B-9397-08002B2CF9AE}" pid="3" name="ICV">
    <vt:lpwstr>1F9FD7BACA3499C0C62E2569CF9CFC60_42</vt:lpwstr>
  </property>
</Properties>
</file>