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600" w:lineRule="exact"/>
        <w:rPr>
          <w:rFonts w:hint="eastAsia" w:ascii="黑体" w:hAnsi="黑体" w:eastAsia="黑体" w:cs="黑体"/>
          <w:b w:val="0"/>
          <w:bCs w:val="0"/>
          <w:kern w:val="2"/>
          <w:sz w:val="32"/>
          <w:szCs w:val="28"/>
        </w:rPr>
      </w:pPr>
      <w:r>
        <w:rPr>
          <w:rFonts w:hint="eastAsia" w:ascii="黑体" w:hAnsi="黑体" w:eastAsia="黑体" w:cs="黑体"/>
          <w:b w:val="0"/>
          <w:bCs w:val="0"/>
          <w:kern w:val="2"/>
          <w:sz w:val="32"/>
          <w:szCs w:val="28"/>
        </w:rPr>
        <w:t>附件5</w:t>
      </w:r>
    </w:p>
    <w:p>
      <w:pPr>
        <w:spacing w:after="0" w:line="600" w:lineRule="exact"/>
        <w:ind w:firstLine="420" w:firstLineChars="200"/>
        <w:rPr>
          <w:rFonts w:hint="eastAsia"/>
        </w:rPr>
      </w:pPr>
    </w:p>
    <w:p>
      <w:pPr>
        <w:spacing w:after="0" w:line="600" w:lineRule="exact"/>
        <w:ind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新建项目储备配额发放</w:t>
      </w:r>
      <w:r>
        <w:rPr>
          <w:rFonts w:hint="eastAsia" w:ascii="方正小标宋简体" w:hAnsi="方正小标宋简体" w:eastAsia="方正小标宋简体" w:cs="方正小标宋简体"/>
          <w:sz w:val="44"/>
          <w:szCs w:val="44"/>
          <w:lang w:val="en-US" w:eastAsia="zh-CN"/>
        </w:rPr>
        <w:t>方法</w:t>
      </w:r>
    </w:p>
    <w:p>
      <w:pPr>
        <w:spacing w:after="0" w:line="600" w:lineRule="exact"/>
        <w:ind w:firstLine="642" w:firstLineChars="200"/>
        <w:jc w:val="center"/>
        <w:rPr>
          <w:rFonts w:hint="eastAsia" w:ascii="方正小标宋简体" w:hAnsi="方正小标宋简体" w:eastAsia="方正小标宋简体" w:cs="方正小标宋简体"/>
          <w:b/>
          <w:bCs/>
          <w:sz w:val="32"/>
          <w:szCs w:val="32"/>
        </w:rPr>
      </w:pPr>
    </w:p>
    <w:p>
      <w:pPr>
        <w:spacing w:after="0" w:line="560" w:lineRule="exact"/>
        <w:ind w:firstLine="640" w:firstLineChars="200"/>
        <w:rPr>
          <w:rFonts w:hint="eastAsia" w:ascii="黑体" w:hAnsi="黑体" w:eastAsia="黑体" w:cs="黑体"/>
          <w:b/>
          <w:bCs/>
          <w:kern w:val="0"/>
          <w:sz w:val="32"/>
          <w:szCs w:val="32"/>
        </w:rPr>
      </w:pPr>
      <w:r>
        <w:rPr>
          <w:rFonts w:hint="eastAsia" w:ascii="黑体" w:hAnsi="黑体" w:eastAsia="黑体" w:cs="黑体"/>
          <w:kern w:val="0"/>
          <w:sz w:val="32"/>
          <w:szCs w:val="32"/>
        </w:rPr>
        <w:t>一、适用条件及申请要求</w:t>
      </w:r>
    </w:p>
    <w:p>
      <w:pPr>
        <w:spacing w:after="0" w:line="560" w:lineRule="exact"/>
        <w:ind w:firstLine="640" w:firstLineChars="200"/>
        <w:rPr>
          <w:rFonts w:hint="eastAsia" w:ascii="仿宋_GB2312" w:hAnsi="仿宋_GB2312" w:eastAsia="仿宋_GB2312" w:cs="仿宋_GB2312"/>
          <w:sz w:val="32"/>
          <w:szCs w:val="32"/>
        </w:rPr>
      </w:pPr>
      <w:bookmarkStart w:id="0" w:name="_Hlk206104196"/>
      <w:r>
        <w:rPr>
          <w:rFonts w:hint="eastAsia" w:ascii="仿宋_GB2312" w:hAnsi="仿宋_GB2312" w:eastAsia="仿宋_GB2312" w:cs="仿宋_GB2312"/>
          <w:sz w:val="32"/>
          <w:szCs w:val="32"/>
        </w:rPr>
        <w:t>相对于历史基准年，重点排放单位新建固定资产投资项目年排放量达到三千吨二氧化碳当量，应当在项目竣工验收前向市生态环境主管部门申请发放新建项目储备配额，</w:t>
      </w:r>
      <w:r>
        <w:rPr>
          <w:rFonts w:hint="eastAsia" w:ascii="仿宋_GB2312" w:hAnsi="仿宋_GB2312" w:eastAsia="仿宋_GB2312" w:cs="仿宋_GB2312"/>
          <w:bCs/>
          <w:kern w:val="0"/>
          <w:sz w:val="32"/>
          <w:szCs w:val="32"/>
        </w:rPr>
        <w:t>提交“深圳碳市场新建项目储备配额申请书”（详见下表2）并附上佐证材料，提交材料均需加盖单位公章</w:t>
      </w:r>
      <w:r>
        <w:rPr>
          <w:rFonts w:hint="eastAsia" w:ascii="仿宋_GB2312" w:hAnsi="仿宋_GB2312" w:eastAsia="仿宋_GB2312" w:cs="仿宋_GB2312"/>
          <w:sz w:val="32"/>
          <w:szCs w:val="32"/>
        </w:rPr>
        <w:t xml:space="preserve">。 </w:t>
      </w:r>
    </w:p>
    <w:p>
      <w:pPr>
        <w:spacing w:after="0"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二、配额分配和发放方法</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新建项目储备配额根据重点排放单位新建固定资产投资项目年度实际碳排放确定,新建项目储备配额90%免费发放、10%有偿出售，待相关重点排放单位通过拍卖或</w:t>
      </w:r>
      <w:r>
        <w:rPr>
          <w:rFonts w:hint="eastAsia" w:ascii="Calibri" w:hAnsi="Calibri" w:eastAsia="仿宋_GB2312" w:cs="Calibri"/>
          <w:sz w:val="32"/>
          <w:szCs w:val="32"/>
        </w:rPr>
        <w:t>其他有偿交易</w:t>
      </w:r>
      <w:r>
        <w:rPr>
          <w:rFonts w:hint="eastAsia" w:ascii="仿宋_GB2312" w:hAnsi="仿宋_GB2312" w:eastAsia="仿宋_GB2312" w:cs="仿宋_GB2312"/>
          <w:sz w:val="32"/>
          <w:szCs w:val="32"/>
        </w:rPr>
        <w:t>方式购足不低于其新建项目碳排放量10%的有偿配额后，市生态环境主管部门通过配额注册登记系统向其发放90%的免费配额。</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当年度新建项目储备配额全部申请发放完毕后，不再新增。</w:t>
      </w:r>
    </w:p>
    <w:p>
      <w:pPr>
        <w:spacing w:after="0" w:line="560" w:lineRule="exact"/>
        <w:ind w:firstLine="640" w:firstLineChars="200"/>
        <w:rPr>
          <w:rFonts w:hint="eastAsia" w:ascii="仿宋_GB2312" w:hAnsi="仿宋_GB2312" w:eastAsia="仿宋_GB2312" w:cs="仿宋_GB2312"/>
          <w:sz w:val="32"/>
          <w:szCs w:val="32"/>
        </w:rPr>
      </w:pPr>
    </w:p>
    <w:p>
      <w:pPr>
        <w:spacing w:after="0" w:line="560" w:lineRule="exact"/>
        <w:ind w:firstLine="640" w:firstLineChars="200"/>
        <w:rPr>
          <w:rFonts w:hint="eastAsia" w:ascii="仿宋_GB2312" w:hAnsi="仿宋_GB2312" w:eastAsia="仿宋_GB2312" w:cs="仿宋_GB2312"/>
          <w:sz w:val="32"/>
          <w:szCs w:val="32"/>
        </w:rPr>
      </w:pPr>
    </w:p>
    <w:bookmarkEnd w:id="0"/>
    <w:p>
      <w:pPr>
        <w:spacing w:after="0" w:line="600" w:lineRule="exact"/>
        <w:rPr>
          <w:rFonts w:hint="eastAsia" w:ascii="黑体" w:hAnsi="黑体" w:eastAsia="黑体" w:cs="黑体"/>
          <w:b/>
          <w:bCs/>
          <w:sz w:val="32"/>
          <w:szCs w:val="28"/>
        </w:rPr>
      </w:pPr>
    </w:p>
    <w:p>
      <w:pPr>
        <w:rPr>
          <w:rFonts w:hint="eastAsia" w:ascii="黑体" w:hAnsi="黑体" w:eastAsia="黑体" w:cs="黑体"/>
          <w:sz w:val="32"/>
          <w:szCs w:val="28"/>
        </w:rPr>
      </w:pPr>
      <w:r>
        <w:rPr>
          <w:rFonts w:hint="eastAsia" w:ascii="黑体" w:hAnsi="黑体" w:eastAsia="黑体" w:cs="黑体"/>
          <w:sz w:val="32"/>
          <w:szCs w:val="28"/>
        </w:rPr>
        <w:br w:type="page"/>
      </w:r>
    </w:p>
    <w:p>
      <w:pPr>
        <w:jc w:val="both"/>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表2</w:t>
      </w:r>
    </w:p>
    <w:p>
      <w:pPr>
        <w:jc w:val="center"/>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t>深圳碳市场新建项目储备配额申请书</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2"/>
        <w:gridCol w:w="1600"/>
        <w:gridCol w:w="2400"/>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4"/>
            <w:shd w:val="clear" w:color="auto" w:fill="F2F2F2"/>
            <w:vAlign w:val="center"/>
          </w:tcPr>
          <w:p>
            <w:pPr>
              <w:spacing w:line="240" w:lineRule="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68" w:type="pct"/>
            <w:vAlign w:val="center"/>
          </w:tcPr>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企业名称</w:t>
            </w:r>
          </w:p>
        </w:tc>
        <w:tc>
          <w:tcPr>
            <w:tcW w:w="939" w:type="pct"/>
            <w:vAlign w:val="center"/>
          </w:tcPr>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p>
        </w:tc>
        <w:tc>
          <w:tcPr>
            <w:tcW w:w="1408" w:type="pct"/>
            <w:vAlign w:val="center"/>
          </w:tcPr>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统一社会信用代码</w:t>
            </w:r>
          </w:p>
        </w:tc>
        <w:tc>
          <w:tcPr>
            <w:tcW w:w="1185" w:type="pct"/>
            <w:vAlign w:val="center"/>
          </w:tcPr>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68" w:type="pct"/>
            <w:vAlign w:val="center"/>
          </w:tcPr>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联系人姓名</w:t>
            </w:r>
          </w:p>
        </w:tc>
        <w:tc>
          <w:tcPr>
            <w:tcW w:w="939" w:type="pct"/>
            <w:vAlign w:val="center"/>
          </w:tcPr>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p>
        </w:tc>
        <w:tc>
          <w:tcPr>
            <w:tcW w:w="1408" w:type="pct"/>
            <w:vAlign w:val="center"/>
          </w:tcPr>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联系电话</w:t>
            </w:r>
          </w:p>
        </w:tc>
        <w:tc>
          <w:tcPr>
            <w:tcW w:w="1185" w:type="pct"/>
            <w:vAlign w:val="center"/>
          </w:tcPr>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68" w:type="pct"/>
            <w:vAlign w:val="center"/>
          </w:tcPr>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所属行业</w:t>
            </w:r>
          </w:p>
        </w:tc>
        <w:tc>
          <w:tcPr>
            <w:tcW w:w="939" w:type="pct"/>
            <w:vAlign w:val="center"/>
          </w:tcPr>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p>
        </w:tc>
        <w:tc>
          <w:tcPr>
            <w:tcW w:w="1408" w:type="pct"/>
            <w:vAlign w:val="center"/>
          </w:tcPr>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行业分类代码</w:t>
            </w:r>
          </w:p>
        </w:tc>
        <w:tc>
          <w:tcPr>
            <w:tcW w:w="1185" w:type="pct"/>
            <w:vAlign w:val="center"/>
          </w:tcPr>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4"/>
            <w:shd w:val="clear" w:color="auto" w:fill="F1F1F1" w:themeFill="background1" w:themeFillShade="F2"/>
            <w:vAlign w:val="center"/>
          </w:tcPr>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二、项目基本情况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68" w:type="pct"/>
            <w:vAlign w:val="center"/>
          </w:tcPr>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项目名称</w:t>
            </w:r>
          </w:p>
        </w:tc>
        <w:tc>
          <w:tcPr>
            <w:tcW w:w="3532" w:type="pct"/>
            <w:gridSpan w:val="3"/>
            <w:vAlign w:val="center"/>
          </w:tcPr>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68" w:type="pct"/>
            <w:vAlign w:val="center"/>
          </w:tcPr>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项目所在地址</w:t>
            </w:r>
          </w:p>
        </w:tc>
        <w:tc>
          <w:tcPr>
            <w:tcW w:w="3532" w:type="pct"/>
            <w:gridSpan w:val="3"/>
            <w:vAlign w:val="center"/>
          </w:tcPr>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68" w:type="pct"/>
            <w:vAlign w:val="center"/>
          </w:tcPr>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使用用途</w:t>
            </w:r>
          </w:p>
        </w:tc>
        <w:tc>
          <w:tcPr>
            <w:tcW w:w="3532" w:type="pct"/>
            <w:gridSpan w:val="3"/>
            <w:vAlign w:val="center"/>
          </w:tcPr>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68" w:type="pct"/>
            <w:vAlign w:val="center"/>
          </w:tcPr>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项目投产时间</w:t>
            </w:r>
          </w:p>
        </w:tc>
        <w:tc>
          <w:tcPr>
            <w:tcW w:w="939" w:type="pct"/>
            <w:vAlign w:val="center"/>
          </w:tcPr>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p>
        </w:tc>
        <w:tc>
          <w:tcPr>
            <w:tcW w:w="1408" w:type="pct"/>
            <w:vAlign w:val="center"/>
          </w:tcPr>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竣工验收时间</w:t>
            </w:r>
          </w:p>
        </w:tc>
        <w:tc>
          <w:tcPr>
            <w:tcW w:w="1185" w:type="pct"/>
            <w:vAlign w:val="center"/>
          </w:tcPr>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68" w:type="pct"/>
            <w:vAlign w:val="center"/>
          </w:tcPr>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投产规模（预计产值）</w:t>
            </w:r>
          </w:p>
        </w:tc>
        <w:tc>
          <w:tcPr>
            <w:tcW w:w="939" w:type="pct"/>
            <w:vAlign w:val="center"/>
          </w:tcPr>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p>
        </w:tc>
        <w:tc>
          <w:tcPr>
            <w:tcW w:w="1408" w:type="pct"/>
            <w:vAlign w:val="center"/>
          </w:tcPr>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与原有设施的关系</w:t>
            </w:r>
          </w:p>
        </w:tc>
        <w:tc>
          <w:tcPr>
            <w:tcW w:w="1185" w:type="pct"/>
            <w:vAlign w:val="center"/>
          </w:tcPr>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4"/>
            <w:shd w:val="clear" w:color="auto" w:fill="F1F1F1" w:themeFill="background1" w:themeFillShade="F2"/>
            <w:vAlign w:val="center"/>
          </w:tcPr>
          <w:p>
            <w:pPr>
              <w:spacing w:line="240" w:lineRule="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三、碳排放评估情况（概述）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trPr>
        <w:tc>
          <w:tcPr>
            <w:tcW w:w="5000" w:type="pct"/>
            <w:gridSpan w:val="4"/>
          </w:tcPr>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需对新建项目的主要排放设施进行说明，根据预估投产规模（预计产值），初步评估年度燃料消耗量及电力、热力等消费量等活动数据，评估年度碳排放情况。测算依据及相应证明材料作为本表附件。</w:t>
            </w:r>
          </w:p>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p>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p>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p>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4"/>
            <w:shd w:val="clear" w:color="auto" w:fill="F1F1F1" w:themeFill="background1" w:themeFillShade="F2"/>
            <w:vAlign w:val="center"/>
          </w:tcPr>
          <w:p>
            <w:pPr>
              <w:spacing w:line="240" w:lineRule="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四、碳排放计量措施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5000" w:type="pct"/>
            <w:gridSpan w:val="4"/>
          </w:tcPr>
          <w:p>
            <w:pPr>
              <w:autoSpaceDE w:val="0"/>
              <w:autoSpaceDN w:val="0"/>
              <w:spacing w:before="158" w:line="240" w:lineRule="auto"/>
              <w:ind w:firstLine="199" w:firstLineChars="83"/>
              <w:jc w:val="left"/>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□单独计量  □非单独计量</w:t>
            </w:r>
          </w:p>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对于单独计量的情况，对计量措施进行阐述；对于非单独计量的情况，阐明新增设施排放量占总排放量的比重估算从而对重点总体活动水平数据进行等比例拆分。</w:t>
            </w:r>
          </w:p>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p>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五、企业承诺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tcPr>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p>
          <w:p>
            <w:pPr>
              <w:spacing w:line="240" w:lineRule="auto"/>
              <w:ind w:firstLine="482"/>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本单位承诺，本次提交的申请信息及相关材料真实、有效、准确、完整，不包含虚假或者误导性陈述，复印件与原件一致，若存在虚报、假报、漏报或其他材料瑕疵，本单位将承担由此引起的所有损失及法律责任。</w:t>
            </w:r>
          </w:p>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p>
          <w:p>
            <w:pPr>
              <w:spacing w:line="240" w:lineRule="auto"/>
              <w:rPr>
                <w:rFonts w:hint="eastAsia" w:ascii="仿宋_GB2312" w:hAnsi="仿宋_GB2312" w:eastAsia="仿宋_GB2312" w:cs="仿宋_GB2312"/>
                <w:color w:val="000000" w:themeColor="text1"/>
                <w:sz w:val="24"/>
                <w:szCs w:val="24"/>
                <w14:textFill>
                  <w14:solidFill>
                    <w14:schemeClr w14:val="tx1"/>
                  </w14:solidFill>
                </w14:textFill>
              </w:rPr>
            </w:pPr>
          </w:p>
          <w:p>
            <w:pPr>
              <w:spacing w:line="240" w:lineRule="auto"/>
              <w:ind w:left="2883" w:leftChars="1373"/>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单位名称（盖章）：</w:t>
            </w:r>
          </w:p>
          <w:p>
            <w:pPr>
              <w:spacing w:line="240" w:lineRule="auto"/>
              <w:ind w:left="2883" w:leftChars="1373"/>
              <w:rPr>
                <w:rFonts w:hint="eastAsia" w:ascii="仿宋_GB2312" w:hAnsi="仿宋_GB2312" w:eastAsia="仿宋_GB2312" w:cs="仿宋_GB2312"/>
                <w:color w:val="000000" w:themeColor="text1"/>
                <w:sz w:val="24"/>
                <w:szCs w:val="24"/>
                <w14:textFill>
                  <w14:solidFill>
                    <w14:schemeClr w14:val="tx1"/>
                  </w14:solidFill>
                </w14:textFill>
              </w:rPr>
            </w:pPr>
            <w:bookmarkStart w:id="1" w:name="_GoBack"/>
            <w:bookmarkEnd w:id="1"/>
          </w:p>
          <w:p>
            <w:pPr>
              <w:spacing w:line="240" w:lineRule="auto"/>
              <w:ind w:left="2883" w:leftChars="1373"/>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法定代表人（负责人）</w:t>
            </w:r>
          </w:p>
          <w:p>
            <w:pPr>
              <w:spacing w:line="240" w:lineRule="auto"/>
              <w:ind w:left="2883" w:leftChars="1373"/>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或授权代表：</w:t>
            </w:r>
          </w:p>
          <w:p>
            <w:pPr>
              <w:spacing w:line="240" w:lineRule="auto"/>
              <w:ind w:left="2883" w:leftChars="1373"/>
              <w:rPr>
                <w:rFonts w:hint="eastAsia" w:ascii="仿宋_GB2312" w:hAnsi="仿宋_GB2312" w:eastAsia="仿宋_GB2312" w:cs="仿宋_GB2312"/>
                <w:color w:val="000000" w:themeColor="text1"/>
                <w:sz w:val="24"/>
                <w:szCs w:val="24"/>
                <w14:textFill>
                  <w14:solidFill>
                    <w14:schemeClr w14:val="tx1"/>
                  </w14:solidFill>
                </w14:textFill>
              </w:rPr>
            </w:pPr>
          </w:p>
          <w:p>
            <w:pPr>
              <w:spacing w:line="240" w:lineRule="auto"/>
              <w:ind w:left="2883" w:leftChars="1373"/>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日期：    年  月  日</w:t>
            </w:r>
          </w:p>
        </w:tc>
      </w:tr>
    </w:tbl>
    <w:p>
      <w:pPr>
        <w:autoSpaceDE w:val="0"/>
        <w:autoSpaceDN w:val="0"/>
        <w:spacing w:after="0" w:line="560" w:lineRule="exact"/>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【填表说明】</w:t>
      </w:r>
    </w:p>
    <w:p>
      <w:pPr>
        <w:autoSpaceDE w:val="0"/>
        <w:autoSpaceDN w:val="0"/>
        <w:spacing w:after="0" w:line="560" w:lineRule="exact"/>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1.“行业分类代码”根据统计联网直报平台上的国民经济行业分类代码填写。</w:t>
      </w:r>
    </w:p>
    <w:p>
      <w:pPr>
        <w:autoSpaceDE w:val="0"/>
        <w:autoSpaceDN w:val="0"/>
        <w:spacing w:after="0" w:line="560" w:lineRule="exact"/>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2.提交此表时应附如下证明材料，并加盖单位公章：</w:t>
      </w:r>
    </w:p>
    <w:p>
      <w:pPr>
        <w:spacing w:after="0" w:line="560" w:lineRule="exact"/>
        <w:ind w:firstLine="48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（1）新建项目投入使用的证明文件（如节能验收报告、固定资产投资项目的节能审查意见；投产前后的耗电量、生产线建成投产图片等）；</w:t>
      </w:r>
    </w:p>
    <w:p>
      <w:pPr>
        <w:spacing w:after="0" w:line="560" w:lineRule="exact"/>
        <w:ind w:firstLine="48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（2）新建项目生产活动相关证明材料（新建项目经济产出证明文件以及新建项目与重点排放单位原有设施经济产出分拆文件等）；</w:t>
      </w:r>
    </w:p>
    <w:p>
      <w:pPr>
        <w:spacing w:after="0" w:line="560" w:lineRule="exact"/>
        <w:ind w:firstLine="48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（3）新建项目碳排放源汇识别清单、能源消耗数据、碳排放核算数据及证明材料；</w:t>
      </w:r>
    </w:p>
    <w:p>
      <w:pPr>
        <w:spacing w:after="0" w:line="560" w:lineRule="exact"/>
        <w:ind w:firstLine="480"/>
      </w:pPr>
      <w:r>
        <w:rPr>
          <w:rFonts w:hint="eastAsia" w:ascii="仿宋_GB2312" w:hAnsi="仿宋_GB2312" w:eastAsia="仿宋_GB2312" w:cs="仿宋_GB2312"/>
          <w:color w:val="000000" w:themeColor="text1"/>
          <w:sz w:val="28"/>
          <w:szCs w:val="28"/>
          <w14:textFill>
            <w14:solidFill>
              <w14:schemeClr w14:val="tx1"/>
            </w14:solidFill>
          </w14:textFill>
        </w:rPr>
        <w:t>（4）其他相关证明材料。</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96FE9"/>
    <w:rsid w:val="58C6530E"/>
    <w:rsid w:val="5FF96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rFonts w:eastAsia="宋体"/>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315</Words>
  <Characters>323</Characters>
  <Lines>0</Lines>
  <Paragraphs>0</Paragraphs>
  <TotalTime>4</TotalTime>
  <ScaleCrop>false</ScaleCrop>
  <LinksUpToDate>false</LinksUpToDate>
  <CharactersWithSpaces>324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2026-03-03T22:53:00Z</dcterms:created>
  <dc:creator>sthjj</dc:creator>
  <cp:lastModifiedBy>sthjj</cp:lastModifiedBy>
  <dcterms:modified xsi:type="dcterms:W3CDTF">2026-03-03T15:52:23Z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